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医学院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2021年工作重点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开展直属附属医院建设。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加快专业内涵建设。临床医学和护理学专业认、新增精神医学专业的调研、以院士命名的临床医学“段树民班”招生、首届临床医学“呼吸治疗特色班”招募。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进一步加强师资队伍建设。争取引进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省级人才国家级人才、院士，加强省级人才、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青年英才的加入，优化人才结构。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省重点实验室认证工作。建设脑与认知研究院，双聘段树民院士团队，形成“领军人才-青年英才-博士后”最强大脑，购置标志性科研设备：小动物核磁，加快科研实验室空间改造：新增动物中心、改建研究；室承担重大项目，产出高水平成果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建设康养研究中心（省民政厅），主要为省级康养护理员等级技能认定中心、培训中心，省级康养研究中心，作为康学会专业委员会秘书单位，争取牵头制定康养联合体标准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推进课程思政建设的“12345”体系，1个根本（立德树人）、2个为主（教师、学生）、3块阵地（党支部 思政中心 党政联席会）、4项机制（协作、激励、督促、考核）、5有目标（有特点、有品牌、有风格、有榜样、有成果）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5F698BE-9C8D-4AAD-8A57-ECEB55E6E3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459776-79C0-4262-8FD5-6E91AA1B5E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7A4EE5-A34E-4231-BA21-5AE7E34DF41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B6455"/>
    <w:multiLevelType w:val="singleLevel"/>
    <w:tmpl w:val="7DFB64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ZmUyZGEyYzE5OWEyMzhjMjhjMjc1OWM0ZTA3ODIifQ=="/>
  </w:docVars>
  <w:rsids>
    <w:rsidRoot w:val="520E18F8"/>
    <w:rsid w:val="520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2022-05-02T08:13:00Z</dcterms:created>
  <dc:creator>王jing</dc:creator>
  <cp:lastModifiedBy>王jing</cp:lastModifiedBy>
  <dcterms:modified xsi:type="dcterms:W3CDTF">2022-05-02T08:24:13Z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1E9024AC14D04744B327EAB7D2213287</vt:lpwstr>
  </property>
</Properties>
</file>