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after="0" w:line="600" w:lineRule="exact"/>
        <w:ind w:left="0" w:leftChars="0" w:firstLine="0" w:firstLineChars="0"/>
        <w:jc w:val="center"/>
        <w:textAlignment w:val="auto"/>
        <w:rPr>
          <w:rFonts w:hint="eastAsia" w:ascii="华文中宋" w:hAnsi="华文中宋" w:eastAsia="华文中宋" w:cs="华文中宋"/>
          <w:b/>
          <w:color w:val="000000"/>
          <w:sz w:val="44"/>
          <w:szCs w:val="44"/>
        </w:rPr>
      </w:pPr>
      <w:bookmarkStart w:id="0" w:name="_Hlk533518985"/>
      <w:r>
        <w:rPr>
          <w:rFonts w:hint="eastAsia" w:ascii="华文中宋" w:hAnsi="华文中宋" w:eastAsia="华文中宋" w:cs="华文中宋"/>
          <w:b/>
          <w:color w:val="000000"/>
          <w:sz w:val="44"/>
          <w:szCs w:val="44"/>
        </w:rPr>
        <w:t>202</w:t>
      </w:r>
      <w:r>
        <w:rPr>
          <w:rFonts w:hint="eastAsia" w:ascii="华文中宋" w:hAnsi="华文中宋" w:eastAsia="华文中宋" w:cs="华文中宋"/>
          <w:b/>
          <w:color w:val="000000"/>
          <w:sz w:val="44"/>
          <w:szCs w:val="44"/>
          <w:lang w:val="en-US" w:eastAsia="zh-CN"/>
        </w:rPr>
        <w:t>1</w:t>
      </w:r>
      <w:r>
        <w:rPr>
          <w:rFonts w:hint="eastAsia" w:ascii="华文中宋" w:hAnsi="华文中宋" w:eastAsia="华文中宋" w:cs="华文中宋"/>
          <w:b/>
          <w:color w:val="000000"/>
          <w:sz w:val="44"/>
          <w:szCs w:val="44"/>
        </w:rPr>
        <w:t>年度医学院</w:t>
      </w:r>
      <w:r>
        <w:rPr>
          <w:rFonts w:hint="eastAsia" w:ascii="华文中宋" w:hAnsi="华文中宋" w:eastAsia="华文中宋" w:cs="华文中宋"/>
          <w:b/>
          <w:color w:val="000000"/>
          <w:sz w:val="44"/>
          <w:szCs w:val="44"/>
          <w:lang w:val="en-US" w:eastAsia="zh-CN"/>
        </w:rPr>
        <w:t>工作</w:t>
      </w:r>
      <w:r>
        <w:rPr>
          <w:rFonts w:hint="eastAsia" w:ascii="华文中宋" w:hAnsi="华文中宋" w:eastAsia="华文中宋" w:cs="华文中宋"/>
          <w:b/>
          <w:color w:val="000000"/>
          <w:sz w:val="44"/>
          <w:szCs w:val="44"/>
        </w:rPr>
        <w:t>总结</w:t>
      </w:r>
    </w:p>
    <w:p>
      <w:pPr>
        <w:keepNext w:val="0"/>
        <w:keepLines w:val="0"/>
        <w:pageBreakBefore w:val="0"/>
        <w:widowControl/>
        <w:numPr>
          <w:ilvl w:val="0"/>
          <w:numId w:val="0"/>
        </w:numPr>
        <w:kinsoku/>
        <w:wordWrap/>
        <w:overflowPunct/>
        <w:topLinePunct w:val="0"/>
        <w:autoSpaceDE/>
        <w:autoSpaceDN/>
        <w:bidi w:val="0"/>
        <w:spacing w:after="0" w:line="600" w:lineRule="exact"/>
        <w:ind w:firstLine="640" w:firstLineChars="200"/>
        <w:jc w:val="both"/>
        <w:textAlignment w:val="auto"/>
        <w:rPr>
          <w:rFonts w:hint="eastAsia" w:ascii="仿宋" w:hAnsi="仿宋" w:eastAsia="仿宋" w:cs="仿宋"/>
          <w:b w:val="0"/>
          <w:bCs/>
          <w:kern w:val="21"/>
          <w:sz w:val="32"/>
          <w:szCs w:val="32"/>
          <w:lang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lang w:eastAsia="zh-CN"/>
        </w:rPr>
        <w:t>2021年是学校“十四五”开局元年，也是转公后第一个完整的自然年，医学院以习近平新时代中国特色社会主义思想为引领，认真贯彻落实学校关于百强建设的各项战略和布局，坚持高质量快速发展工作总基调，</w:t>
      </w:r>
      <w:r>
        <w:rPr>
          <w:rFonts w:hint="eastAsia" w:ascii="仿宋_GB2312" w:hAnsi="仿宋_GB2312" w:eastAsia="仿宋_GB2312" w:cs="仿宋_GB2312"/>
          <w:kern w:val="21"/>
          <w:sz w:val="32"/>
          <w:szCs w:val="32"/>
          <w:lang w:val="en-US" w:eastAsia="zh-CN"/>
        </w:rPr>
        <w:t>紧紧围绕智慧康养科教创新综合体建设，</w:t>
      </w:r>
      <w:r>
        <w:rPr>
          <w:rFonts w:hint="eastAsia" w:ascii="仿宋_GB2312" w:hAnsi="仿宋_GB2312" w:eastAsia="仿宋_GB2312" w:cs="仿宋_GB2312"/>
          <w:kern w:val="21"/>
          <w:sz w:val="32"/>
          <w:szCs w:val="32"/>
          <w:lang w:eastAsia="zh-CN"/>
        </w:rPr>
        <w:t>凝聚共识，协同奋进，在教育教学、科学研究、育人和社会服务方面均取得较好成绩。现将本年度主要工作总结如下。</w:t>
      </w:r>
    </w:p>
    <w:p>
      <w:pPr>
        <w:keepNext w:val="0"/>
        <w:keepLines w:val="0"/>
        <w:pageBreakBefore w:val="0"/>
        <w:widowControl/>
        <w:numPr>
          <w:ilvl w:val="0"/>
          <w:numId w:val="1"/>
        </w:numPr>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b w:val="0"/>
          <w:bCs/>
          <w:kern w:val="21"/>
          <w:sz w:val="32"/>
          <w:szCs w:val="32"/>
          <w:lang w:val="en-US" w:eastAsia="zh-CN" w:bidi="ar"/>
        </w:rPr>
      </w:pPr>
      <w:r>
        <w:rPr>
          <w:rFonts w:hint="eastAsia" w:ascii="黑体" w:hAnsi="黑体" w:eastAsia="黑体" w:cs="黑体"/>
          <w:b w:val="0"/>
          <w:bCs/>
          <w:kern w:val="21"/>
          <w:sz w:val="32"/>
          <w:szCs w:val="32"/>
          <w:lang w:val="en-US" w:eastAsia="zh-CN" w:bidi="ar"/>
        </w:rPr>
        <w:t>加强顶层规划与设计，助推事业全面发展</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对接智慧康养科教创新综合体建设，与省民政促进会签署战略合作框架协议，积极争取省级康养技能等级认证中心、康养研究中心、省级康养护理员培训基地、康养联合体标准制订等落地。针对临床医学专业发展瓶颈，积极开展富阳区第一人民医院成为我院直属附属医院落地及落地后的建设工作。深化国际健康科学中心建设，打造口腔卫生与呼吸治疗特色班，培养口腔卫生师和呼吸治疗师。双聘</w:t>
      </w:r>
      <w:r>
        <w:rPr>
          <w:rFonts w:hint="default" w:ascii="仿宋_GB2312" w:hAnsi="仿宋_GB2312" w:eastAsia="仿宋_GB2312" w:cs="仿宋_GB2312"/>
          <w:kern w:val="21"/>
          <w:sz w:val="32"/>
          <w:szCs w:val="32"/>
          <w:lang w:val="en-US" w:eastAsia="zh-CN"/>
        </w:rPr>
        <w:t>段树民</w:t>
      </w:r>
      <w:r>
        <w:rPr>
          <w:rFonts w:hint="eastAsia" w:ascii="仿宋_GB2312" w:hAnsi="仿宋_GB2312" w:eastAsia="仿宋_GB2312" w:cs="仿宋_GB2312"/>
          <w:kern w:val="21"/>
          <w:sz w:val="32"/>
          <w:szCs w:val="32"/>
          <w:lang w:val="en-US" w:eastAsia="zh-CN"/>
        </w:rPr>
        <w:t>院士及其团队，</w:t>
      </w:r>
      <w:r>
        <w:rPr>
          <w:rFonts w:hint="default" w:ascii="仿宋_GB2312" w:hAnsi="仿宋_GB2312" w:eastAsia="仿宋_GB2312" w:cs="仿宋_GB2312"/>
          <w:kern w:val="21"/>
          <w:sz w:val="32"/>
          <w:szCs w:val="32"/>
          <w:lang w:val="en-US" w:eastAsia="zh-CN"/>
        </w:rPr>
        <w:t>领衔</w:t>
      </w:r>
      <w:r>
        <w:rPr>
          <w:rFonts w:hint="eastAsia" w:ascii="仿宋_GB2312" w:hAnsi="仿宋_GB2312" w:eastAsia="仿宋_GB2312" w:cs="仿宋_GB2312"/>
          <w:kern w:val="21"/>
          <w:sz w:val="32"/>
          <w:szCs w:val="32"/>
          <w:lang w:val="en-US" w:eastAsia="zh-CN"/>
        </w:rPr>
        <w:t>建设</w:t>
      </w:r>
      <w:r>
        <w:rPr>
          <w:rFonts w:hint="default" w:ascii="仿宋_GB2312" w:hAnsi="仿宋_GB2312" w:eastAsia="仿宋_GB2312" w:cs="仿宋_GB2312"/>
          <w:kern w:val="21"/>
          <w:sz w:val="32"/>
          <w:szCs w:val="32"/>
          <w:lang w:val="en-US" w:eastAsia="zh-CN"/>
        </w:rPr>
        <w:t>脑与认知研究院</w:t>
      </w:r>
      <w:r>
        <w:rPr>
          <w:rFonts w:hint="eastAsia" w:ascii="仿宋_GB2312" w:hAnsi="仿宋_GB2312" w:eastAsia="仿宋_GB2312" w:cs="仿宋_GB2312"/>
          <w:kern w:val="21"/>
          <w:sz w:val="32"/>
          <w:szCs w:val="32"/>
          <w:lang w:val="en-US" w:eastAsia="zh-CN"/>
        </w:rPr>
        <w:t>。双聘苏州大学周芳芳教授，参与建设衰老与肿瘤研究中心。</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b w:val="0"/>
          <w:bCs/>
          <w:kern w:val="21"/>
          <w:sz w:val="32"/>
          <w:szCs w:val="32"/>
          <w:lang w:val="en-US" w:eastAsia="zh-CN" w:bidi="ar"/>
        </w:rPr>
      </w:pPr>
      <w:r>
        <w:rPr>
          <w:rFonts w:hint="eastAsia" w:ascii="黑体" w:hAnsi="黑体" w:eastAsia="黑体" w:cs="黑体"/>
          <w:b w:val="0"/>
          <w:bCs/>
          <w:kern w:val="21"/>
          <w:sz w:val="32"/>
          <w:szCs w:val="32"/>
          <w:lang w:val="en-US" w:eastAsia="zh-CN" w:bidi="ar"/>
        </w:rPr>
        <w:t>二、</w:t>
      </w:r>
      <w:r>
        <w:rPr>
          <w:rFonts w:hint="eastAsia" w:ascii="黑体" w:hAnsi="黑体" w:eastAsia="黑体" w:cs="黑体"/>
          <w:b w:val="0"/>
          <w:bCs/>
          <w:kern w:val="21"/>
          <w:sz w:val="32"/>
          <w:szCs w:val="32"/>
          <w:lang w:bidi="ar"/>
        </w:rPr>
        <w:t>以政治建设为统领，</w:t>
      </w:r>
      <w:r>
        <w:rPr>
          <w:rFonts w:hint="eastAsia" w:ascii="黑体" w:hAnsi="黑体" w:eastAsia="黑体" w:cs="黑体"/>
          <w:b w:val="0"/>
          <w:bCs/>
          <w:kern w:val="21"/>
          <w:sz w:val="32"/>
          <w:szCs w:val="32"/>
          <w:lang w:eastAsia="zh-CN" w:bidi="ar"/>
        </w:rPr>
        <w:t>全面加强党的建设</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kern w:val="21"/>
          <w:sz w:val="32"/>
          <w:szCs w:val="32"/>
          <w:lang w:val="en-US" w:eastAsia="zh-CN"/>
        </w:rPr>
      </w:pPr>
      <w:r>
        <w:rPr>
          <w:rFonts w:hint="eastAsia" w:ascii="楷体_GB2312" w:hAnsi="楷体_GB2312" w:eastAsia="楷体_GB2312" w:cs="楷体_GB2312"/>
          <w:b/>
          <w:sz w:val="32"/>
          <w:szCs w:val="32"/>
          <w:lang w:val="en-US" w:eastAsia="zh-CN"/>
        </w:rPr>
        <w:t>（一）</w:t>
      </w:r>
      <w:r>
        <w:rPr>
          <w:rFonts w:hint="eastAsia" w:ascii="楷体_GB2312" w:hAnsi="楷体_GB2312" w:eastAsia="楷体_GB2312" w:cs="楷体_GB2312"/>
          <w:b/>
          <w:sz w:val="32"/>
          <w:szCs w:val="32"/>
        </w:rPr>
        <w:t>加强理论学习</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坚定政治立场</w:t>
      </w:r>
      <w:r>
        <w:rPr>
          <w:rFonts w:hint="eastAsia" w:ascii="楷体_GB2312" w:hAnsi="楷体_GB2312" w:eastAsia="楷体_GB2312" w:cs="楷体_GB2312"/>
          <w:b/>
          <w:sz w:val="32"/>
          <w:szCs w:val="32"/>
          <w:lang w:eastAsia="zh-CN"/>
        </w:rPr>
        <w:t>。</w:t>
      </w:r>
      <w:r>
        <w:rPr>
          <w:rFonts w:hint="eastAsia" w:ascii="仿宋_GB2312" w:hAnsi="仿宋_GB2312" w:eastAsia="仿宋_GB2312" w:cs="仿宋_GB2312"/>
          <w:kern w:val="21"/>
          <w:sz w:val="32"/>
          <w:szCs w:val="32"/>
          <w:lang w:val="en-US" w:eastAsia="zh-CN"/>
        </w:rPr>
        <w:t>及时学习传达习近平总书记最新讲话精神和中央、省市委重大决策部署，特别是党的十九届六中全会精神。严格落实党委会理论学习“第一议题”制度，制定党委理论学习中心组学习计划，积极开展各种学习会、研讨会、调研会、座谈会与分析会以及党课宣讲等50多场次，其中党委理论中心组活动12次，实施《学习强国》平台比武打擂活动，实现学习教育常态化、全覆盖。截至12月10日，推送各类新闻稿件374篇，其中官网123 篇，官微251篇。</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kern w:val="21"/>
          <w:sz w:val="32"/>
          <w:szCs w:val="32"/>
          <w:lang w:val="en-US" w:eastAsia="zh-CN"/>
        </w:rPr>
      </w:pPr>
      <w:r>
        <w:rPr>
          <w:rFonts w:hint="eastAsia" w:ascii="楷体_GB2312" w:hAnsi="楷体_GB2312" w:eastAsia="楷体_GB2312" w:cs="楷体_GB2312"/>
          <w:b/>
          <w:sz w:val="32"/>
          <w:szCs w:val="32"/>
          <w:lang w:val="en-US" w:eastAsia="zh-CN"/>
        </w:rPr>
        <w:t>（二）开展党史学习教育，落实立德树人根本任务。</w:t>
      </w:r>
      <w:r>
        <w:rPr>
          <w:rFonts w:hint="eastAsia" w:ascii="仿宋_GB2312" w:hAnsi="仿宋_GB2312" w:eastAsia="仿宋_GB2312" w:cs="仿宋_GB2312"/>
          <w:kern w:val="21"/>
          <w:sz w:val="32"/>
          <w:szCs w:val="32"/>
          <w:lang w:val="en-US" w:eastAsia="zh-CN"/>
        </w:rPr>
        <w:t>制订“寻·根源”“寻·足迹”“寻·传承”“寻·变革”“寻·突破”等以五“寻”为主题的党史学习教育实施方案并组织实施，累计开展党委干部与师生“1+2同讲精神谱系”、“百名教授走社区”、“百名学生讲党史”、“双百”主题宣讲、“六个一党员教育等活动20多场400多人次，积极参加“红心向党，青春飞扬”杭州青年青春歌会。深化“三为”专题实践活动，为师生办好事、做实事。打造师生交流空间示范工程，满足学生、家长、社会访客等交流互动，并作为日常师生学习、交流、休憩等场所。目前行政走廊、“三创三人”书记工作室、课程思政研究中心实体阵地等均完成建设。解决教学、科研实验室照明问题，改善教师学生实验条件。</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3" w:firstLineChars="200"/>
        <w:jc w:val="both"/>
        <w:textAlignment w:val="auto"/>
        <w:rPr>
          <w:rFonts w:hint="eastAsia" w:ascii="仿宋" w:hAnsi="仿宋" w:eastAsia="仿宋" w:cs="仿宋"/>
          <w:bCs/>
          <w:kern w:val="21"/>
          <w:sz w:val="32"/>
          <w:szCs w:val="32"/>
          <w:lang w:val="en-US" w:eastAsia="zh-CN" w:bidi="ar"/>
        </w:rPr>
      </w:pPr>
      <w:r>
        <w:rPr>
          <w:rFonts w:hint="eastAsia" w:ascii="楷体_GB2312" w:hAnsi="楷体_GB2312" w:eastAsia="楷体_GB2312" w:cs="楷体_GB2312"/>
          <w:b/>
          <w:sz w:val="32"/>
          <w:szCs w:val="32"/>
          <w:lang w:val="en-US" w:eastAsia="zh-CN"/>
        </w:rPr>
        <w:t>（三）深化组织建设，夯实党建之基</w:t>
      </w:r>
      <w:bookmarkEnd w:id="0"/>
      <w:r>
        <w:rPr>
          <w:rFonts w:hint="eastAsia" w:ascii="楷体_GB2312" w:hAnsi="楷体_GB2312" w:eastAsia="楷体_GB2312" w:cs="楷体_GB2312"/>
          <w:b/>
          <w:sz w:val="32"/>
          <w:szCs w:val="32"/>
          <w:lang w:val="en-US" w:eastAsia="zh-CN"/>
        </w:rPr>
        <w:t>。</w:t>
      </w:r>
      <w:r>
        <w:rPr>
          <w:rFonts w:hint="eastAsia" w:ascii="仿宋_GB2312" w:hAnsi="仿宋_GB2312" w:eastAsia="仿宋_GB2312" w:cs="仿宋_GB2312"/>
          <w:kern w:val="21"/>
          <w:sz w:val="32"/>
          <w:szCs w:val="32"/>
          <w:lang w:val="en-US" w:eastAsia="zh-CN"/>
        </w:rPr>
        <w:t>为落实落深党建工作，修订《医学院党支部工作规范》《医学院党员行为规范》《医学院新闻宣传制度》，制订《医学院党支部工作规范》《医学院党员规范》并严格执行。积极探索党建立于专业学科上的运作机制，以“领雁人才”牵头建设的“三创三人”药学教工支部书记工作室初具雏形，运行良好。结合学院实际，编印医学院《党员发展工作指导手册》，进一步规范党员发展程序。2021年党建成果丰硕，药学教工党支部作为全省样板支部进行培育创建，学院党委获评杭州市先进基层党组织，沈王兴老师获评杭州市优秀共产党员，吕媛媛老师被推荐杭州市最强领头雁，医护教工党支部通过学校样板支部验收，两个党建研究课题获学校党委立项并顺利结题。</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kern w:val="21"/>
          <w:sz w:val="32"/>
          <w:szCs w:val="32"/>
          <w:lang w:val="en-US" w:eastAsia="zh-CN"/>
        </w:rPr>
      </w:pPr>
      <w:r>
        <w:rPr>
          <w:rFonts w:hint="eastAsia" w:ascii="楷体_GB2312" w:hAnsi="楷体_GB2312" w:eastAsia="楷体_GB2312" w:cs="楷体_GB2312"/>
          <w:b/>
          <w:sz w:val="32"/>
          <w:szCs w:val="32"/>
          <w:lang w:val="en-US" w:eastAsia="zh-CN"/>
        </w:rPr>
        <w:t>（四）开展组织共建，创新党建之举。</w:t>
      </w:r>
      <w:r>
        <w:rPr>
          <w:rFonts w:hint="eastAsia" w:ascii="仿宋_GB2312" w:hAnsi="仿宋_GB2312" w:eastAsia="仿宋_GB2312" w:cs="仿宋_GB2312"/>
          <w:kern w:val="21"/>
          <w:sz w:val="32"/>
          <w:szCs w:val="32"/>
          <w:lang w:val="en-US" w:eastAsia="zh-CN"/>
        </w:rPr>
        <w:t>与浙江大学医学院、浙江工业大学药学院联手开展党建工作，打造</w:t>
      </w:r>
      <w:r>
        <w:rPr>
          <w:rFonts w:hint="default" w:ascii="仿宋_GB2312" w:hAnsi="仿宋_GB2312" w:eastAsia="仿宋_GB2312" w:cs="仿宋_GB2312"/>
          <w:kern w:val="21"/>
          <w:sz w:val="32"/>
          <w:szCs w:val="32"/>
          <w:lang w:val="zh-TW" w:eastAsia="zh-CN"/>
        </w:rPr>
        <w:t>“组织共建、学习共</w:t>
      </w:r>
      <w:r>
        <w:rPr>
          <w:rFonts w:hint="eastAsia" w:ascii="仿宋_GB2312" w:hAnsi="仿宋_GB2312" w:eastAsia="仿宋_GB2312" w:cs="仿宋_GB2312"/>
          <w:kern w:val="21"/>
          <w:sz w:val="32"/>
          <w:szCs w:val="32"/>
          <w:lang w:val="zh-TW" w:eastAsia="zh-CN"/>
        </w:rPr>
        <w:t>促</w:t>
      </w:r>
      <w:r>
        <w:rPr>
          <w:rFonts w:hint="default" w:ascii="仿宋_GB2312" w:hAnsi="仿宋_GB2312" w:eastAsia="仿宋_GB2312" w:cs="仿宋_GB2312"/>
          <w:kern w:val="21"/>
          <w:sz w:val="32"/>
          <w:szCs w:val="32"/>
          <w:lang w:val="zh-TW" w:eastAsia="zh-CN"/>
        </w:rPr>
        <w:t>、研究共</w:t>
      </w:r>
      <w:r>
        <w:rPr>
          <w:rFonts w:hint="eastAsia" w:ascii="仿宋_GB2312" w:hAnsi="仿宋_GB2312" w:eastAsia="仿宋_GB2312" w:cs="仿宋_GB2312"/>
          <w:kern w:val="21"/>
          <w:sz w:val="32"/>
          <w:szCs w:val="32"/>
          <w:lang w:val="zh-TW" w:eastAsia="zh-CN"/>
        </w:rPr>
        <w:t>联</w:t>
      </w:r>
      <w:r>
        <w:rPr>
          <w:rFonts w:hint="default" w:ascii="仿宋_GB2312" w:hAnsi="仿宋_GB2312" w:eastAsia="仿宋_GB2312" w:cs="仿宋_GB2312"/>
          <w:kern w:val="21"/>
          <w:sz w:val="32"/>
          <w:szCs w:val="32"/>
          <w:lang w:val="zh-TW" w:eastAsia="zh-CN"/>
        </w:rPr>
        <w:t>、服务共融、人才共育、资源共享、发展共谋、保障共筑”党建合作发展共同体</w:t>
      </w:r>
      <w:r>
        <w:rPr>
          <w:rFonts w:hint="eastAsia" w:ascii="仿宋_GB2312" w:hAnsi="仿宋_GB2312" w:eastAsia="仿宋_GB2312" w:cs="仿宋_GB2312"/>
          <w:kern w:val="21"/>
          <w:sz w:val="32"/>
          <w:szCs w:val="32"/>
          <w:lang w:val="en-US" w:eastAsia="zh-CN"/>
        </w:rPr>
        <w:t>；高度对接智慧康养科教创新综合体建设，利用学科、专业、人才、平台等优势，积极开展党建共建工作，赋能共同富裕示范区建设。主动融入杭州市养老服务行业党建红色联盟，共同推进养老服务行业党建和养老服务业务同步提质增效，为争当高质量发展建设共同富裕示范区城市范例贡献力量。与联盟成员--杭州在水一方养老服务集团党组织结对共建。与拱墅区卫健局联合拱墅区卫健系统调研活动，党建业务联动，共推社区卫生事业发展。</w:t>
      </w:r>
    </w:p>
    <w:p>
      <w:pPr>
        <w:keepNext w:val="0"/>
        <w:keepLines w:val="0"/>
        <w:pageBreakBefore w:val="0"/>
        <w:widowControl/>
        <w:kinsoku/>
        <w:wordWrap/>
        <w:overflowPunct/>
        <w:topLinePunct w:val="0"/>
        <w:autoSpaceDE/>
        <w:autoSpaceDN/>
        <w:bidi w:val="0"/>
        <w:adjustRightInd/>
        <w:snapToGrid/>
        <w:spacing w:after="0" w:line="600" w:lineRule="exact"/>
        <w:ind w:firstLine="643" w:firstLineChars="200"/>
        <w:textAlignment w:val="auto"/>
        <w:rPr>
          <w:rFonts w:hint="eastAsia" w:ascii="仿宋_GB2312" w:hAnsi="仿宋_GB2312" w:eastAsia="仿宋_GB2312" w:cs="仿宋_GB2312"/>
          <w:kern w:val="21"/>
          <w:sz w:val="32"/>
          <w:szCs w:val="32"/>
          <w:lang w:val="en-US" w:eastAsia="zh-CN"/>
        </w:rPr>
      </w:pPr>
      <w:r>
        <w:rPr>
          <w:rFonts w:hint="eastAsia" w:ascii="楷体_GB2312" w:hAnsi="楷体_GB2312" w:eastAsia="楷体_GB2312" w:cs="楷体_GB2312"/>
          <w:b/>
          <w:sz w:val="32"/>
          <w:szCs w:val="32"/>
          <w:lang w:val="en-US" w:eastAsia="zh-CN"/>
        </w:rPr>
        <w:t>（五）全面从严治党，打造风清气正发展氛围。</w:t>
      </w:r>
      <w:r>
        <w:rPr>
          <w:rFonts w:hint="eastAsia" w:ascii="仿宋_GB2312" w:hAnsi="仿宋_GB2312" w:eastAsia="仿宋_GB2312" w:cs="仿宋_GB2312"/>
          <w:kern w:val="21"/>
          <w:sz w:val="32"/>
          <w:szCs w:val="32"/>
          <w:lang w:val="en-US" w:eastAsia="zh-CN"/>
        </w:rPr>
        <w:t>认真组织党风廉政建设形势分析会，强化落实党委履行主体责任，班子成员履行一岗双责。开展“医路风清”文化倡廉行动，完成“医清风貌”清廉文化墙建设。开展“医学生清廉价值观”塑造及宣传活动，营造清廉文化氛围。严格按照《关于在全省公办高校开展“一清理、两专项”工作的方案》，完成前期申报排摸及初步核查分析工作，督促做好后续抽查检查及对发现问题的分类处置工作。对重点区域、重点实验室、主要负责人加强提醒，提高“关键少数”的廉政意识。本年度针对采购工作，特别是分散采购，通过党政联席会进行相关工作流程再梳理、再强化。</w:t>
      </w:r>
    </w:p>
    <w:p>
      <w:pPr>
        <w:keepNext w:val="0"/>
        <w:keepLines w:val="0"/>
        <w:pageBreakBefore w:val="0"/>
        <w:widowControl/>
        <w:numPr>
          <w:ilvl w:val="0"/>
          <w:numId w:val="0"/>
        </w:numPr>
        <w:kinsoku/>
        <w:wordWrap/>
        <w:overflowPunct/>
        <w:topLinePunct w:val="0"/>
        <w:autoSpaceDE/>
        <w:autoSpaceDN/>
        <w:bidi w:val="0"/>
        <w:spacing w:after="0" w:line="600" w:lineRule="exact"/>
        <w:ind w:firstLine="640" w:firstLineChars="200"/>
        <w:jc w:val="both"/>
        <w:textAlignment w:val="auto"/>
        <w:rPr>
          <w:rFonts w:hint="eastAsia" w:ascii="黑体" w:hAnsi="黑体" w:eastAsia="黑体" w:cs="黑体"/>
          <w:b w:val="0"/>
          <w:bCs/>
          <w:kern w:val="21"/>
          <w:sz w:val="32"/>
          <w:szCs w:val="32"/>
          <w:lang w:bidi="ar"/>
        </w:rPr>
      </w:pPr>
      <w:r>
        <w:rPr>
          <w:rFonts w:hint="eastAsia" w:ascii="黑体" w:hAnsi="黑体" w:eastAsia="黑体" w:cs="黑体"/>
          <w:b w:val="0"/>
          <w:bCs/>
          <w:kern w:val="21"/>
          <w:sz w:val="32"/>
          <w:szCs w:val="32"/>
          <w:lang w:val="en-US" w:eastAsia="zh-CN" w:bidi="ar"/>
        </w:rPr>
        <w:t>三</w:t>
      </w:r>
      <w:r>
        <w:rPr>
          <w:rFonts w:hint="eastAsia" w:ascii="黑体" w:hAnsi="黑体" w:eastAsia="黑体" w:cs="黑体"/>
          <w:b w:val="0"/>
          <w:bCs/>
          <w:kern w:val="21"/>
          <w:sz w:val="32"/>
          <w:szCs w:val="32"/>
          <w:lang w:eastAsia="zh-CN" w:bidi="ar"/>
        </w:rPr>
        <w:t>、持续开展</w:t>
      </w:r>
      <w:r>
        <w:rPr>
          <w:rFonts w:hint="eastAsia" w:ascii="黑体" w:hAnsi="黑体" w:eastAsia="黑体" w:cs="黑体"/>
          <w:b w:val="0"/>
          <w:bCs/>
          <w:kern w:val="21"/>
          <w:sz w:val="32"/>
          <w:szCs w:val="32"/>
          <w:lang w:val="en-US" w:eastAsia="zh-CN" w:bidi="ar"/>
        </w:rPr>
        <w:t>教育教学工作，深化</w:t>
      </w:r>
      <w:r>
        <w:rPr>
          <w:rFonts w:hint="eastAsia" w:ascii="黑体" w:hAnsi="黑体" w:eastAsia="黑体" w:cs="黑体"/>
          <w:b w:val="0"/>
          <w:bCs/>
          <w:kern w:val="21"/>
          <w:sz w:val="32"/>
          <w:szCs w:val="32"/>
          <w:lang w:eastAsia="zh-CN" w:bidi="ar"/>
        </w:rPr>
        <w:t>专业</w:t>
      </w:r>
      <w:r>
        <w:rPr>
          <w:rFonts w:hint="eastAsia" w:ascii="黑体" w:hAnsi="黑体" w:eastAsia="黑体" w:cs="黑体"/>
          <w:b w:val="0"/>
          <w:bCs/>
          <w:kern w:val="21"/>
          <w:sz w:val="32"/>
          <w:szCs w:val="32"/>
          <w:lang w:val="en-US" w:eastAsia="zh-CN" w:bidi="ar"/>
        </w:rPr>
        <w:t>与课程建设</w:t>
      </w:r>
    </w:p>
    <w:p>
      <w:pPr>
        <w:pStyle w:val="13"/>
        <w:keepNext w:val="0"/>
        <w:keepLines w:val="0"/>
        <w:pageBreakBefore w:val="0"/>
        <w:widowControl/>
        <w:numPr>
          <w:ilvl w:val="0"/>
          <w:numId w:val="0"/>
        </w:numPr>
        <w:kinsoku/>
        <w:wordWrap/>
        <w:overflowPunct/>
        <w:topLinePunct w:val="0"/>
        <w:bidi w:val="0"/>
        <w:spacing w:after="0" w:line="600" w:lineRule="exact"/>
        <w:ind w:firstLine="643" w:firstLineChars="200"/>
        <w:textAlignment w:val="auto"/>
        <w:rPr>
          <w:rFonts w:hint="eastAsia" w:ascii="仿宋_GB2312" w:hAnsi="仿宋_GB2312" w:eastAsia="仿宋_GB2312" w:cs="仿宋_GB2312"/>
          <w:color w:val="000000"/>
          <w:kern w:val="21"/>
          <w:sz w:val="32"/>
          <w:szCs w:val="32"/>
          <w:lang w:val="en-US" w:eastAsia="zh-CN" w:bidi="ar-SA"/>
        </w:rPr>
      </w:pPr>
      <w:r>
        <w:rPr>
          <w:rFonts w:hint="eastAsia" w:ascii="楷体_GB2312" w:hAnsi="楷体_GB2312" w:eastAsia="楷体_GB2312" w:cs="楷体_GB2312"/>
          <w:b/>
          <w:color w:val="000000"/>
          <w:kern w:val="2"/>
          <w:sz w:val="32"/>
          <w:szCs w:val="32"/>
          <w:lang w:val="en-US" w:eastAsia="zh-CN" w:bidi="ar-SA"/>
        </w:rPr>
        <w:t>（一）扎实推进专业建设与认证筹备工作。</w:t>
      </w:r>
      <w:r>
        <w:rPr>
          <w:rFonts w:hint="eastAsia" w:ascii="仿宋_GB2312" w:hAnsi="仿宋_GB2312" w:eastAsia="仿宋_GB2312" w:cs="仿宋_GB2312"/>
          <w:color w:val="000000"/>
          <w:kern w:val="21"/>
          <w:sz w:val="32"/>
          <w:szCs w:val="32"/>
          <w:lang w:val="en-US" w:eastAsia="zh-CN" w:bidi="ar-SA"/>
        </w:rPr>
        <w:t>稳步推进在建各级各类专业建设项目，完成药理学省一流专业中期检查以及临床医学专业杭州市新型专业年度检查工作。选派临床医学专业骨干教师、护理系全体教师线上线下参加教育部组织的临床医学、护理学专业认证培训会，并邀请相应领域认证专家来校进行专业认证指导与交流等。启动2022-2025新一轮培养计划修订工作。开展呼吸治疗特色班和口腔卫生特色班招生与教学工作。组建2021级</w:t>
      </w:r>
      <w:r>
        <w:rPr>
          <w:rFonts w:hint="default" w:ascii="仿宋_GB2312" w:hAnsi="仿宋_GB2312" w:eastAsia="仿宋_GB2312" w:cs="仿宋_GB2312"/>
          <w:color w:val="000000"/>
          <w:kern w:val="21"/>
          <w:sz w:val="32"/>
          <w:szCs w:val="32"/>
          <w:lang w:val="en-US" w:eastAsia="zh-CN" w:bidi="ar-SA"/>
        </w:rPr>
        <w:t>临床医学专业“</w:t>
      </w:r>
      <w:r>
        <w:rPr>
          <w:rFonts w:hint="eastAsia" w:ascii="仿宋_GB2312" w:hAnsi="仿宋_GB2312" w:eastAsia="仿宋_GB2312" w:cs="仿宋_GB2312"/>
          <w:color w:val="000000"/>
          <w:kern w:val="21"/>
          <w:sz w:val="32"/>
          <w:szCs w:val="32"/>
          <w:lang w:val="en-US" w:eastAsia="zh-CN" w:bidi="ar-SA"/>
        </w:rPr>
        <w:t>华佗班（</w:t>
      </w:r>
      <w:r>
        <w:rPr>
          <w:rFonts w:hint="default" w:ascii="仿宋_GB2312" w:hAnsi="仿宋_GB2312" w:eastAsia="仿宋_GB2312" w:cs="仿宋_GB2312"/>
          <w:color w:val="000000"/>
          <w:kern w:val="21"/>
          <w:sz w:val="32"/>
          <w:szCs w:val="32"/>
          <w:lang w:val="en-US" w:eastAsia="zh-CN" w:bidi="ar-SA"/>
        </w:rPr>
        <w:t>院士班</w:t>
      </w:r>
      <w:r>
        <w:rPr>
          <w:rFonts w:hint="eastAsia" w:ascii="仿宋_GB2312" w:hAnsi="仿宋_GB2312" w:eastAsia="仿宋_GB2312" w:cs="仿宋_GB2312"/>
          <w:color w:val="000000"/>
          <w:kern w:val="21"/>
          <w:sz w:val="32"/>
          <w:szCs w:val="32"/>
          <w:lang w:val="en-US" w:eastAsia="zh-CN" w:bidi="ar-SA"/>
        </w:rPr>
        <w:t>）</w:t>
      </w:r>
      <w:r>
        <w:rPr>
          <w:rFonts w:hint="default" w:ascii="仿宋_GB2312" w:hAnsi="仿宋_GB2312" w:eastAsia="仿宋_GB2312" w:cs="仿宋_GB2312"/>
          <w:color w:val="000000"/>
          <w:kern w:val="21"/>
          <w:sz w:val="32"/>
          <w:szCs w:val="32"/>
          <w:lang w:val="en-US" w:eastAsia="zh-CN" w:bidi="ar-SA"/>
        </w:rPr>
        <w:t>”</w:t>
      </w:r>
      <w:r>
        <w:rPr>
          <w:rFonts w:hint="eastAsia" w:ascii="仿宋_GB2312" w:hAnsi="仿宋_GB2312" w:eastAsia="仿宋_GB2312" w:cs="仿宋_GB2312"/>
          <w:color w:val="000000"/>
          <w:kern w:val="21"/>
          <w:sz w:val="32"/>
          <w:szCs w:val="32"/>
          <w:lang w:val="en-US" w:eastAsia="zh-CN" w:bidi="ar-SA"/>
        </w:rPr>
        <w:t>。</w:t>
      </w:r>
    </w:p>
    <w:p>
      <w:pPr>
        <w:pStyle w:val="13"/>
        <w:keepNext w:val="0"/>
        <w:keepLines w:val="0"/>
        <w:pageBreakBefore w:val="0"/>
        <w:widowControl/>
        <w:numPr>
          <w:ilvl w:val="0"/>
          <w:numId w:val="0"/>
        </w:numPr>
        <w:kinsoku/>
        <w:wordWrap/>
        <w:overflowPunct/>
        <w:topLinePunct w:val="0"/>
        <w:bidi w:val="0"/>
        <w:spacing w:after="0" w:line="600" w:lineRule="exact"/>
        <w:ind w:firstLine="643" w:firstLineChars="200"/>
        <w:textAlignment w:val="auto"/>
        <w:rPr>
          <w:rFonts w:hint="eastAsia" w:ascii="仿宋_GB2312" w:hAnsi="仿宋_GB2312" w:eastAsia="仿宋_GB2312" w:cs="仿宋_GB2312"/>
          <w:color w:val="000000"/>
          <w:kern w:val="21"/>
          <w:sz w:val="32"/>
          <w:szCs w:val="32"/>
          <w:lang w:val="en-US" w:eastAsia="zh-CN" w:bidi="ar-SA"/>
        </w:rPr>
      </w:pPr>
      <w:r>
        <w:rPr>
          <w:rFonts w:hint="eastAsia" w:ascii="楷体_GB2312" w:hAnsi="楷体_GB2312" w:eastAsia="楷体_GB2312" w:cs="楷体_GB2312"/>
          <w:b/>
          <w:color w:val="000000"/>
          <w:kern w:val="2"/>
          <w:sz w:val="32"/>
          <w:szCs w:val="32"/>
          <w:lang w:val="en-US" w:eastAsia="zh-CN" w:bidi="ar-SA"/>
        </w:rPr>
        <w:t>（二）加强课程建设，不断提高教育教学质量。</w:t>
      </w:r>
      <w:r>
        <w:rPr>
          <w:rFonts w:hint="eastAsia" w:ascii="仿宋_GB2312" w:hAnsi="仿宋_GB2312" w:eastAsia="仿宋_GB2312" w:cs="仿宋_GB2312"/>
          <w:color w:val="000000"/>
          <w:kern w:val="21"/>
          <w:sz w:val="32"/>
          <w:szCs w:val="32"/>
          <w:lang w:val="en-US" w:eastAsia="zh-CN" w:bidi="ar-SA"/>
        </w:rPr>
        <w:t>组织申报各级各类课程建设项目，1门省级课程思政示范课程、3门省一流课程、4门校级课程思政示范课程获立项建设，立项省级虚拟仿真实验教学项目1个，医学院课程思政研究中心、临床医学专业分别获学校首个省级课程思政示范基层教学组织和校级课程思政示范专业立项建设，进一步夯实“三生有信”课程思政体系建设。《护理健康教育与健康促进》获省高教学会“互联网+教学”优秀案例特等奖、《外科学总论实验》获浙江省高校课程思政优秀教学案例二等奖。教师发表教改论文2篇，学生发表SCI论文3篇，一般公开发表1篇；获生命科学竞赛国家级二等奖2项，省级一等奖2项、三等奖4项；第十届中国大学生医学技术技能大赛护理学专业赛道华东分区赛三等奖1项。</w:t>
      </w:r>
    </w:p>
    <w:p>
      <w:pPr>
        <w:pStyle w:val="6"/>
        <w:keepNext w:val="0"/>
        <w:keepLines w:val="0"/>
        <w:pageBreakBefore w:val="0"/>
        <w:widowControl/>
        <w:kinsoku/>
        <w:wordWrap/>
        <w:overflowPunct/>
        <w:topLinePunct w:val="0"/>
        <w:bidi w:val="0"/>
        <w:spacing w:after="0" w:line="600" w:lineRule="exact"/>
        <w:ind w:firstLine="630" w:firstLineChars="196"/>
        <w:textAlignment w:val="auto"/>
        <w:rPr>
          <w:rFonts w:hint="eastAsia" w:ascii="仿宋_GB2312" w:hAnsi="仿宋_GB2312" w:eastAsia="仿宋_GB2312" w:cs="仿宋_GB2312"/>
          <w:color w:val="000000"/>
          <w:kern w:val="21"/>
          <w:sz w:val="32"/>
          <w:szCs w:val="32"/>
          <w:lang w:val="en-US" w:eastAsia="zh-CN" w:bidi="ar-SA"/>
        </w:rPr>
      </w:pPr>
      <w:r>
        <w:rPr>
          <w:rFonts w:hint="eastAsia" w:ascii="楷体_GB2312" w:hAnsi="楷体_GB2312" w:eastAsia="楷体_GB2312" w:cs="楷体_GB2312"/>
          <w:b/>
          <w:color w:val="000000"/>
          <w:kern w:val="2"/>
          <w:sz w:val="32"/>
          <w:szCs w:val="32"/>
          <w:lang w:val="en-US" w:eastAsia="zh-CN" w:bidi="ar-SA"/>
        </w:rPr>
        <w:t>（三）持续推进实验室软硬件条件建设。</w:t>
      </w:r>
      <w:r>
        <w:rPr>
          <w:rFonts w:hint="eastAsia" w:ascii="仿宋_GB2312" w:hAnsi="仿宋_GB2312" w:eastAsia="仿宋_GB2312" w:cs="仿宋_GB2312"/>
          <w:color w:val="000000"/>
          <w:kern w:val="21"/>
          <w:sz w:val="32"/>
          <w:szCs w:val="32"/>
          <w:lang w:val="en-US" w:eastAsia="zh-CN" w:bidi="ar-SA"/>
        </w:rPr>
        <w:t>完成原有实验室更新和维修等任务，顺利实施国际健康科学中心II期建设项目，协助学校总务处推进南校区医学科教综合楼建设并协同解决设计和规划过程中的各项问题;修订《医学院实验室安全检查实施细则》《实验室安全检查违规行为扣分细则》等，组织5次实验室安全大检查，并进行问题整改落实工作；配合学校推动实验室安全管理信息化建设，建立危化品从申购信息对接、标签打印、危化品赋码入库、申请和审批、领用及归还、试剂瓶回收的全流程管理，使得危化品全生命周期可视化，实现真正的帐、物一致；克服人手不足困难，抽调翁健俏同志至学校采购中心协助完成设备采购任务工作三个月。</w:t>
      </w:r>
    </w:p>
    <w:p>
      <w:pPr>
        <w:keepNext w:val="0"/>
        <w:keepLines w:val="0"/>
        <w:pageBreakBefore w:val="0"/>
        <w:widowControl/>
        <w:kinsoku/>
        <w:wordWrap/>
        <w:overflowPunct/>
        <w:topLinePunct w:val="0"/>
        <w:bidi w:val="0"/>
        <w:adjustRightInd w:val="0"/>
        <w:spacing w:after="0" w:line="600" w:lineRule="exact"/>
        <w:ind w:left="0" w:leftChars="0" w:firstLine="640" w:firstLineChars="200"/>
        <w:jc w:val="left"/>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四、学科平台建设成效显著，科研服务取得新业绩</w:t>
      </w:r>
    </w:p>
    <w:p>
      <w:pPr>
        <w:keepNext w:val="0"/>
        <w:keepLines w:val="0"/>
        <w:pageBreakBefore w:val="0"/>
        <w:widowControl/>
        <w:kinsoku/>
        <w:wordWrap/>
        <w:overflowPunct/>
        <w:topLinePunct w:val="0"/>
        <w:bidi w:val="0"/>
        <w:spacing w:after="0" w:line="600" w:lineRule="exact"/>
        <w:textAlignment w:val="auto"/>
        <w:rPr>
          <w:rFonts w:hint="eastAsia" w:ascii="仿宋_GB2312" w:hAnsi="仿宋_GB2312" w:eastAsia="仿宋_GB2312" w:cs="仿宋_GB2312"/>
          <w:color w:val="000000"/>
          <w:kern w:val="21"/>
          <w:sz w:val="32"/>
          <w:szCs w:val="32"/>
          <w:lang w:val="en-US" w:eastAsia="zh-CN" w:bidi="ar-SA"/>
        </w:rPr>
      </w:pPr>
      <w:r>
        <w:rPr>
          <w:rFonts w:hint="eastAsia" w:ascii="楷体_GB2312" w:hAnsi="楷体_GB2312" w:eastAsia="楷体_GB2312" w:cs="楷体_GB2312"/>
          <w:b/>
          <w:sz w:val="32"/>
          <w:szCs w:val="32"/>
          <w:lang w:val="en-US" w:eastAsia="zh-CN"/>
        </w:rPr>
        <w:t>（一）加强顶层设计，进一步凝练学科研究方向。</w:t>
      </w:r>
      <w:r>
        <w:rPr>
          <w:rFonts w:hint="eastAsia" w:ascii="仿宋_GB2312" w:hAnsi="仿宋_GB2312" w:eastAsia="仿宋_GB2312" w:cs="仿宋_GB2312"/>
          <w:color w:val="000000"/>
          <w:kern w:val="21"/>
          <w:sz w:val="32"/>
          <w:szCs w:val="32"/>
          <w:lang w:val="en-US" w:eastAsia="zh-CN" w:bidi="ar-SA"/>
        </w:rPr>
        <w:t>顺利完成药学学科省一流学科（B类）建设，计划重点围绕脑与认知、神经保护药物研究、抗肿瘤药物研究等方向冲击新一轮省级A类一流学科（A类）建设。以段世伟教授为负责人，聚焦遗传学、免疫学、衰老与肿瘤等方向着力开展基础医学学科建设。护理学以康复护理学、护理健康促进与健康教育为主要方向开展重点建设。启动布局护理学硕士点，招收浙江大学联培硕士研究生10人、浙江工业大学联培硕士研究生12人，新增浙江大学硕士生导师3名</w:t>
      </w:r>
      <w:bookmarkStart w:id="2" w:name="_GoBack"/>
      <w:bookmarkEnd w:id="2"/>
      <w:r>
        <w:rPr>
          <w:rFonts w:hint="eastAsia" w:ascii="仿宋_GB2312" w:hAnsi="仿宋_GB2312" w:eastAsia="仿宋_GB2312" w:cs="仿宋_GB2312"/>
          <w:color w:val="000000"/>
          <w:kern w:val="21"/>
          <w:sz w:val="32"/>
          <w:szCs w:val="32"/>
          <w:lang w:val="en-US" w:eastAsia="zh-CN" w:bidi="ar-SA"/>
        </w:rPr>
        <w:t>。</w:t>
      </w:r>
    </w:p>
    <w:p>
      <w:pPr>
        <w:keepNext w:val="0"/>
        <w:keepLines w:val="0"/>
        <w:pageBreakBefore w:val="0"/>
        <w:widowControl/>
        <w:kinsoku/>
        <w:wordWrap/>
        <w:overflowPunct/>
        <w:topLinePunct w:val="0"/>
        <w:bidi w:val="0"/>
        <w:adjustRightInd w:val="0"/>
        <w:spacing w:after="0" w:line="600" w:lineRule="exact"/>
        <w:jc w:val="left"/>
        <w:textAlignment w:val="auto"/>
        <w:rPr>
          <w:rFonts w:hint="eastAsia" w:ascii="仿宋_GB2312" w:hAnsi="仿宋_GB2312" w:eastAsia="仿宋_GB2312" w:cs="仿宋_GB2312"/>
          <w:color w:val="000000"/>
          <w:kern w:val="21"/>
          <w:sz w:val="32"/>
          <w:szCs w:val="32"/>
          <w:lang w:val="en-US" w:eastAsia="zh-CN" w:bidi="ar-SA"/>
        </w:rPr>
      </w:pPr>
      <w:r>
        <w:rPr>
          <w:rFonts w:hint="eastAsia" w:ascii="楷体_GB2312" w:hAnsi="楷体_GB2312" w:eastAsia="楷体_GB2312" w:cs="楷体_GB2312"/>
          <w:b/>
          <w:sz w:val="32"/>
          <w:szCs w:val="32"/>
          <w:lang w:val="en-US" w:eastAsia="zh-CN"/>
        </w:rPr>
        <w:t>（二）筑巢引凤，不断完善科研平台建设。</w:t>
      </w:r>
      <w:r>
        <w:rPr>
          <w:rFonts w:hint="eastAsia" w:ascii="仿宋_GB2312" w:hAnsi="仿宋_GB2312" w:eastAsia="仿宋_GB2312" w:cs="仿宋_GB2312"/>
          <w:color w:val="000000"/>
          <w:kern w:val="21"/>
          <w:sz w:val="32"/>
          <w:szCs w:val="32"/>
          <w:lang w:val="en-US" w:eastAsia="zh-CN" w:bidi="ar-SA"/>
        </w:rPr>
        <w:t>基本完成86件、总额达3700多万的大部分新购仪器的预算填报、论证和招标工作，已采购完成包括微型化双光子显微成像系统、GPU图形图像计算平台、快速超高分辨率激光共聚焦显微镜、显微操作注射系统、在体双光子显微成像系统等多台大型仪器设备；顺利完成对理2-8楼部分实验室的整修及改造工作，为新引进教师及早投入科研工作保驾护航。</w:t>
      </w:r>
    </w:p>
    <w:p>
      <w:pPr>
        <w:keepNext w:val="0"/>
        <w:keepLines w:val="0"/>
        <w:pageBreakBefore w:val="0"/>
        <w:widowControl/>
        <w:kinsoku/>
        <w:wordWrap/>
        <w:overflowPunct/>
        <w:topLinePunct w:val="0"/>
        <w:bidi w:val="0"/>
        <w:adjustRightInd w:val="0"/>
        <w:spacing w:after="0" w:line="600" w:lineRule="exact"/>
        <w:jc w:val="left"/>
        <w:textAlignment w:val="auto"/>
        <w:rPr>
          <w:rFonts w:hint="eastAsia" w:ascii="仿宋_GB2312" w:hAnsi="仿宋_GB2312" w:eastAsia="仿宋_GB2312" w:cs="仿宋_GB2312"/>
          <w:color w:val="000000"/>
          <w:kern w:val="21"/>
          <w:sz w:val="32"/>
          <w:szCs w:val="32"/>
          <w:lang w:val="en-US" w:eastAsia="zh-CN" w:bidi="ar-SA"/>
        </w:rPr>
      </w:pPr>
      <w:r>
        <w:rPr>
          <w:rFonts w:hint="eastAsia" w:ascii="楷体_GB2312" w:hAnsi="楷体_GB2312" w:eastAsia="楷体_GB2312" w:cs="楷体_GB2312"/>
          <w:b/>
          <w:sz w:val="32"/>
          <w:szCs w:val="32"/>
          <w:lang w:val="en-US" w:eastAsia="zh-CN"/>
        </w:rPr>
        <w:t>（三）深化科研工作，积极争取高质量科研成果。</w:t>
      </w:r>
      <w:r>
        <w:rPr>
          <w:rFonts w:hint="eastAsia" w:ascii="仿宋_GB2312" w:hAnsi="仿宋_GB2312" w:eastAsia="仿宋_GB2312" w:cs="仿宋_GB2312"/>
          <w:color w:val="000000"/>
          <w:kern w:val="21"/>
          <w:sz w:val="32"/>
          <w:szCs w:val="32"/>
          <w:lang w:val="en-US" w:eastAsia="zh-CN" w:bidi="ar-SA"/>
        </w:rPr>
        <w:t>鼓励并支持广大教师积极申报各级各类科研项目，本年度科研项目立项数和立项层次较上一年度均有新突破。具体地，纵向课题20项，其中国家级2项、省部级9项、地市级1项；横向合作项目12项，其中50万以上重大横向项目4个；到校科研经费达902.04万元，创历史新高。积极组织教师发表高水平论文，共发表学术论文36篇，其中SCI论文20篇（其中TOP期刊5篇，含Nature Communications两篇），一级期刊论文1篇；获国家授权发明专利3件，浙江省科学技术进步奖二等奖1项；与浙江和康医疗集团有限公司、浙江隆凯生物科技有限公司以及浙江省民政事业发展促进会等签订合作协议，完成科技成果转化1项。多名教师在省药学会及其分支机构履新。</w:t>
      </w:r>
    </w:p>
    <w:p>
      <w:pPr>
        <w:pStyle w:val="2"/>
        <w:keepNext w:val="0"/>
        <w:keepLines w:val="0"/>
        <w:pageBreakBefore w:val="0"/>
        <w:widowControl/>
        <w:numPr>
          <w:ilvl w:val="0"/>
          <w:numId w:val="0"/>
        </w:numPr>
        <w:kinsoku/>
        <w:wordWrap/>
        <w:overflowPunct/>
        <w:topLinePunct w:val="0"/>
        <w:autoSpaceDE w:val="0"/>
        <w:autoSpaceDN w:val="0"/>
        <w:bidi w:val="0"/>
        <w:spacing w:after="0" w:line="60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加大人才引进力度，</w:t>
      </w:r>
      <w:r>
        <w:rPr>
          <w:rFonts w:hint="eastAsia" w:ascii="黑体" w:hAnsi="黑体" w:eastAsia="黑体" w:cs="黑体"/>
          <w:color w:val="000000" w:themeColor="text1"/>
          <w:sz w:val="32"/>
          <w:szCs w:val="32"/>
          <w:lang w:val="en-US" w:eastAsia="zh-CN"/>
          <w14:textFill>
            <w14:solidFill>
              <w14:schemeClr w14:val="tx1"/>
            </w14:solidFill>
          </w14:textFill>
        </w:rPr>
        <w:t>强化</w:t>
      </w:r>
      <w:r>
        <w:rPr>
          <w:rFonts w:hint="eastAsia" w:ascii="黑体" w:hAnsi="黑体" w:eastAsia="黑体" w:cs="黑体"/>
          <w:color w:val="000000" w:themeColor="text1"/>
          <w:sz w:val="32"/>
          <w:szCs w:val="32"/>
          <w14:textFill>
            <w14:solidFill>
              <w14:schemeClr w14:val="tx1"/>
            </w14:solidFill>
          </w14:textFill>
        </w:rPr>
        <w:t>高水平师资队伍建设</w:t>
      </w:r>
    </w:p>
    <w:p>
      <w:pPr>
        <w:keepNext w:val="0"/>
        <w:keepLines w:val="0"/>
        <w:pageBreakBefore w:val="0"/>
        <w:widowControl/>
        <w:kinsoku/>
        <w:wordWrap/>
        <w:overflowPunct/>
        <w:topLinePunct w:val="0"/>
        <w:bidi w:val="0"/>
        <w:adjustRightInd w:val="0"/>
        <w:spacing w:after="0" w:line="600" w:lineRule="exact"/>
        <w:jc w:val="left"/>
        <w:textAlignment w:val="auto"/>
        <w:rPr>
          <w:rFonts w:hint="eastAsia" w:ascii="仿宋_GB2312" w:hAnsi="仿宋_GB2312" w:eastAsia="仿宋_GB2312" w:cs="仿宋_GB2312"/>
          <w:color w:val="000000"/>
          <w:kern w:val="21"/>
          <w:sz w:val="32"/>
          <w:szCs w:val="32"/>
          <w:lang w:val="en-US" w:eastAsia="zh-CN" w:bidi="ar-SA"/>
        </w:rPr>
      </w:pPr>
      <w:r>
        <w:rPr>
          <w:rFonts w:hint="eastAsia" w:ascii="仿宋_GB2312" w:hAnsi="仿宋_GB2312" w:eastAsia="仿宋_GB2312" w:cs="仿宋_GB2312"/>
          <w:color w:val="000000"/>
          <w:kern w:val="21"/>
          <w:sz w:val="32"/>
          <w:szCs w:val="32"/>
          <w:lang w:val="en-US" w:eastAsia="zh-CN" w:bidi="ar-SA"/>
        </w:rPr>
        <w:t>积极引进高水平师资，助力医学院跨越式发展。截至11月底，全职引进16名中青年学术骨干，其中钱塘二类2名，钱塘三类1名，青年拔尖人才1名，青年英才7名，常规师资5名，另招聘在站博士后3名。柔性引进2名杭州市“钱江特聘专家”，均为省“万人计划”人选，2名“兼任教授”，其中1名为国家杰青获得者，24名“兼聘教授”。</w:t>
      </w:r>
    </w:p>
    <w:p>
      <w:pPr>
        <w:keepNext w:val="0"/>
        <w:keepLines w:val="0"/>
        <w:pageBreakBefore w:val="0"/>
        <w:widowControl/>
        <w:kinsoku/>
        <w:wordWrap/>
        <w:overflowPunct/>
        <w:topLinePunct w:val="0"/>
        <w:bidi w:val="0"/>
        <w:adjustRightInd w:val="0"/>
        <w:spacing w:after="0" w:line="600" w:lineRule="exact"/>
        <w:jc w:val="left"/>
        <w:textAlignment w:val="auto"/>
        <w:rPr>
          <w:rFonts w:hint="eastAsia" w:ascii="仿宋_GB2312" w:hAnsi="仿宋_GB2312" w:eastAsia="仿宋_GB2312" w:cs="仿宋_GB2312"/>
          <w:color w:val="000000"/>
          <w:kern w:val="21"/>
          <w:sz w:val="32"/>
          <w:szCs w:val="32"/>
          <w:lang w:val="en-US" w:eastAsia="zh-CN" w:bidi="ar-SA"/>
        </w:rPr>
      </w:pPr>
      <w:r>
        <w:rPr>
          <w:rFonts w:hint="eastAsia" w:ascii="仿宋_GB2312" w:hAnsi="仿宋_GB2312" w:eastAsia="仿宋_GB2312" w:cs="仿宋_GB2312"/>
          <w:color w:val="000000"/>
          <w:kern w:val="21"/>
          <w:sz w:val="32"/>
          <w:szCs w:val="32"/>
          <w:lang w:val="en-US" w:eastAsia="zh-CN" w:bidi="ar-SA"/>
        </w:rPr>
        <w:t>召开引进人才座谈会，问需于人才，问计于人才，问服务于人才，针对人才提出的问题与建议，不断完善引进人才服务机制，进一步理顺程序和机制，树立服务与责任意识，积极为引进人才营造良好的教学、科研工作环境，切实发挥引进人才的重要作用。</w:t>
      </w:r>
    </w:p>
    <w:p>
      <w:pPr>
        <w:keepNext w:val="0"/>
        <w:keepLines w:val="0"/>
        <w:pageBreakBefore w:val="0"/>
        <w:widowControl/>
        <w:kinsoku/>
        <w:wordWrap/>
        <w:overflowPunct/>
        <w:topLinePunct w:val="0"/>
        <w:bidi w:val="0"/>
        <w:spacing w:after="0"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围绕</w:t>
      </w:r>
      <w:r>
        <w:rPr>
          <w:rFonts w:hint="eastAsia" w:ascii="黑体" w:hAnsi="黑体" w:eastAsia="黑体" w:cs="黑体"/>
          <w:color w:val="000000"/>
          <w:sz w:val="32"/>
          <w:szCs w:val="32"/>
          <w:lang w:val="en-US" w:eastAsia="zh-CN"/>
        </w:rPr>
        <w:t>学院</w:t>
      </w:r>
      <w:r>
        <w:rPr>
          <w:rFonts w:hint="eastAsia" w:ascii="黑体" w:hAnsi="黑体" w:eastAsia="黑体" w:cs="黑体"/>
          <w:color w:val="000000"/>
          <w:sz w:val="32"/>
          <w:szCs w:val="32"/>
        </w:rPr>
        <w:t>中心工作，开创学生工作新局面</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after="0" w:line="600" w:lineRule="exact"/>
        <w:ind w:firstLine="643" w:firstLineChars="200"/>
        <w:textAlignment w:val="auto"/>
        <w:rPr>
          <w:rFonts w:hint="eastAsia" w:ascii="仿宋_GB2312" w:hAnsi="仿宋_GB2312" w:eastAsia="仿宋_GB2312" w:cs="仿宋_GB2312"/>
          <w:color w:val="000000"/>
          <w:kern w:val="21"/>
          <w:sz w:val="32"/>
          <w:szCs w:val="32"/>
          <w:lang w:val="en-US" w:eastAsia="zh-CN" w:bidi="ar-SA"/>
        </w:rPr>
      </w:pPr>
      <w:r>
        <w:rPr>
          <w:rFonts w:hint="eastAsia" w:ascii="楷体_GB2312" w:hAnsi="楷体_GB2312" w:eastAsia="楷体_GB2312" w:cs="楷体_GB2312"/>
          <w:b/>
          <w:sz w:val="32"/>
          <w:szCs w:val="32"/>
          <w:lang w:val="en-US" w:eastAsia="zh-CN"/>
        </w:rPr>
        <w:t>（一）强化思想政治教育，发挥党团先锋引领作用。</w:t>
      </w:r>
      <w:r>
        <w:rPr>
          <w:rFonts w:hint="eastAsia" w:ascii="仿宋_GB2312" w:hAnsi="仿宋_GB2312" w:eastAsia="仿宋_GB2312" w:cs="仿宋_GB2312"/>
          <w:color w:val="000000"/>
          <w:kern w:val="21"/>
          <w:sz w:val="32"/>
          <w:szCs w:val="32"/>
          <w:lang w:val="en-US" w:eastAsia="zh-CN" w:bidi="ar-SA"/>
        </w:rPr>
        <w:t>以党史学习教育和党的十九届六中全会精神学习为重点，以“学校发展十件大事”“共商共建共享美好城院”等校园热点问题为主题，通过班团组织、学生组织、党支部等载体经常性开展学习培训，扎实推进学生思想政治教育。结合学校“双百双寻”主题活动及院级党校教育实践环节，带领学生赴杭州市党群服务中心、杭州市城市规划馆、良渚博物院等教育基地开展现场教学。联合拱墅区卫健委打造“健康好声音”党建工作品牌，组建师生宣讲团进校园、进公寓、进社区，定期发出医学好声音，传递医学正能量。加强党建带团建工作，学院团委获杭州市教育系统五四红旗团委，学生团支部获杭州市五四红旗团支部、杭州市先进团支部、杭州市教育系统先进团支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after="0" w:line="600" w:lineRule="exact"/>
        <w:ind w:firstLine="643" w:firstLineChars="200"/>
        <w:textAlignment w:val="auto"/>
        <w:rPr>
          <w:rFonts w:hint="eastAsia" w:ascii="仿宋_GB2312" w:hAnsi="仿宋_GB2312" w:eastAsia="仿宋_GB2312" w:cs="仿宋_GB2312"/>
          <w:color w:val="000000"/>
          <w:kern w:val="21"/>
          <w:sz w:val="32"/>
          <w:szCs w:val="32"/>
          <w:lang w:val="en-US" w:eastAsia="zh-CN" w:bidi="ar-SA"/>
        </w:rPr>
      </w:pPr>
      <w:r>
        <w:rPr>
          <w:rFonts w:hint="eastAsia" w:ascii="楷体_GB2312" w:hAnsi="楷体_GB2312" w:eastAsia="楷体_GB2312" w:cs="楷体_GB2312"/>
          <w:b/>
          <w:sz w:val="32"/>
          <w:szCs w:val="32"/>
          <w:lang w:val="en-US" w:eastAsia="zh-CN"/>
        </w:rPr>
        <w:t>（二）强化学业发展指导，提升学院优良学风建设。</w:t>
      </w:r>
      <w:r>
        <w:rPr>
          <w:rFonts w:hint="eastAsia" w:ascii="仿宋_GB2312" w:hAnsi="仿宋_GB2312" w:eastAsia="仿宋_GB2312" w:cs="仿宋_GB2312"/>
          <w:color w:val="000000"/>
          <w:kern w:val="21"/>
          <w:sz w:val="32"/>
          <w:szCs w:val="32"/>
          <w:lang w:val="en-US" w:eastAsia="zh-CN" w:bidi="ar-SA"/>
        </w:rPr>
        <w:t>落实立德树人根本任务，建立学生学业安全责任体系，成立学院学业安全工作领导小组，院领导、系主任、教学办、学工办和任课老师形成各司其职、分工明确、协调高效的责任体系。出台《医学院学风建设专项行动方案》，发挥教学、学工队伍联动作用，强化学生朋辈帮扶，用好“崇学微课”朋辈互助团队，结合学风特优班级评比，进一步营造优良学风浓厚氛围，助力百强大学和一流医学院建设。在学院品凯奖学金奖项中设置“早鸟行动班级”“学风优秀寝室”等团体奖项和“学习进步奖”“学业帮扶奖”等个人奖项，选树先进典型，起到示范引领作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after="0" w:line="600" w:lineRule="exact"/>
        <w:ind w:firstLine="643" w:firstLineChars="200"/>
        <w:textAlignment w:val="auto"/>
        <w:rPr>
          <w:rFonts w:hint="eastAsia" w:ascii="仿宋_GB2312" w:hAnsi="仿宋_GB2312" w:eastAsia="仿宋_GB2312" w:cs="仿宋_GB2312"/>
          <w:color w:val="000000"/>
          <w:kern w:val="21"/>
          <w:sz w:val="32"/>
          <w:szCs w:val="32"/>
          <w:lang w:val="en-US" w:eastAsia="zh-CN" w:bidi="ar-SA"/>
        </w:rPr>
      </w:pPr>
      <w:r>
        <w:rPr>
          <w:rFonts w:hint="eastAsia" w:ascii="楷体_GB2312" w:hAnsi="楷体_GB2312" w:eastAsia="楷体_GB2312" w:cs="楷体_GB2312"/>
          <w:b/>
          <w:sz w:val="32"/>
          <w:szCs w:val="32"/>
          <w:lang w:val="en-US" w:eastAsia="zh-CN"/>
        </w:rPr>
        <w:t>（三）丰富二三四课堂，提升学生综合素质。</w:t>
      </w:r>
      <w:r>
        <w:rPr>
          <w:rFonts w:hint="eastAsia" w:ascii="仿宋_GB2312" w:hAnsi="仿宋_GB2312" w:eastAsia="仿宋_GB2312" w:cs="仿宋_GB2312"/>
          <w:color w:val="000000"/>
          <w:kern w:val="21"/>
          <w:sz w:val="32"/>
          <w:szCs w:val="32"/>
          <w:lang w:val="en-US" w:eastAsia="zh-CN" w:bidi="ar-SA"/>
        </w:rPr>
        <w:t>积极鼓励学生参加各类实践活动，强化校内外实践训练，通过参加科学研究、创新创业、文体科技竞赛、劳动活动等，提高实践能力。充分发挥学生组织自我管理和自我服务的作用，举办医学文化节及荣誉盛典，展示全体师生的艺术才华、个性风采和医学情怀。组织100余名学生参加杭州市青春歌会。设立校级暑期社会实践项目4项，院级暑期社会实践项目8项，共计参与学生500余人。目前，已有2支队伍入选参评校社会实践十佳团队。通过与新加坡国立大学、香港理工大学合作，在疫情防控形势下开展线上交流。学生团队获全国大学生生命科学竞赛国家级二等奖、第十届中国大学生医学技术技能大赛护理学专业华东赛道三等奖等荣誉。</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spacing w:after="0" w:line="600" w:lineRule="exact"/>
        <w:ind w:firstLine="643" w:firstLineChars="200"/>
        <w:textAlignment w:val="auto"/>
        <w:rPr>
          <w:rFonts w:hint="eastAsia" w:ascii="仿宋_GB2312" w:hAnsi="仿宋_GB2312" w:eastAsia="仿宋_GB2312" w:cs="仿宋_GB2312"/>
          <w:color w:val="000000"/>
          <w:kern w:val="21"/>
          <w:sz w:val="32"/>
          <w:szCs w:val="32"/>
          <w:lang w:val="en-US" w:eastAsia="zh-CN" w:bidi="ar-SA"/>
        </w:rPr>
      </w:pPr>
      <w:r>
        <w:rPr>
          <w:rFonts w:hint="eastAsia" w:ascii="楷体_GB2312" w:hAnsi="楷体_GB2312" w:eastAsia="楷体_GB2312" w:cs="楷体_GB2312"/>
          <w:b/>
          <w:sz w:val="32"/>
          <w:szCs w:val="32"/>
          <w:lang w:val="en-US" w:eastAsia="zh-CN"/>
        </w:rPr>
        <w:t>（四）抓好常态化疫情防控，筑牢校园安全防线。</w:t>
      </w:r>
      <w:r>
        <w:rPr>
          <w:rFonts w:hint="eastAsia" w:ascii="仿宋_GB2312" w:hAnsi="仿宋_GB2312" w:eastAsia="仿宋_GB2312" w:cs="仿宋_GB2312"/>
          <w:color w:val="000000"/>
          <w:kern w:val="21"/>
          <w:sz w:val="32"/>
          <w:szCs w:val="32"/>
          <w:lang w:val="en-US" w:eastAsia="zh-CN" w:bidi="ar-SA"/>
        </w:rPr>
        <w:t>发布《医学院关于疫情防控常态化下的学生日常管理暂行规定》，督促学生每日健康打卡，落实离校请假制度，按要求定期摸排学生行动轨迹及统计离杭和离省人数。积极响应国家号召做好疫苗接种工作，学生疫苗接种率达到98%左右。对于在医院开展实习、见习的同学，按照医院要求定期进行核酸检测。重点关注经济困难、学业困难、心理困难、宗教信仰、少数民族等重点学生140余人，经常性开展谈心谈话。落实防诈骗、消防等校园安全常规工作，做好临床17级实习期间的住宿搬迁保障工作，努力打造平安校园。</w:t>
      </w:r>
    </w:p>
    <w:p>
      <w:pPr>
        <w:keepNext w:val="0"/>
        <w:keepLines w:val="0"/>
        <w:pageBreakBefore w:val="0"/>
        <w:widowControl/>
        <w:suppressLineNumbers w:val="0"/>
        <w:kinsoku/>
        <w:wordWrap/>
        <w:overflowPunct/>
        <w:topLinePunct w:val="0"/>
        <w:bidi w:val="0"/>
        <w:spacing w:after="0" w:line="600" w:lineRule="exact"/>
        <w:jc w:val="left"/>
        <w:textAlignment w:val="auto"/>
        <w:rPr>
          <w:rFonts w:hint="eastAsia" w:ascii="仿宋_GB2312" w:hAnsi="仿宋_GB2312" w:eastAsia="仿宋_GB2312" w:cs="仿宋_GB2312"/>
          <w:color w:val="000000"/>
          <w:kern w:val="21"/>
          <w:sz w:val="32"/>
          <w:szCs w:val="32"/>
          <w:lang w:val="en-US" w:eastAsia="zh-CN" w:bidi="ar-SA"/>
        </w:rPr>
      </w:pPr>
      <w:r>
        <w:rPr>
          <w:rFonts w:hint="eastAsia" w:ascii="楷体_GB2312" w:hAnsi="楷体_GB2312" w:eastAsia="楷体_GB2312" w:cs="楷体_GB2312"/>
          <w:b/>
          <w:sz w:val="32"/>
          <w:szCs w:val="32"/>
          <w:lang w:val="en-US" w:eastAsia="zh-CN"/>
        </w:rPr>
        <w:t>（五）精准服务，做好招生就业及校友工作。</w:t>
      </w:r>
      <w:bookmarkStart w:id="1" w:name="_Hlk534392668"/>
      <w:r>
        <w:rPr>
          <w:rFonts w:hint="eastAsia" w:ascii="仿宋_GB2312" w:hAnsi="仿宋_GB2312" w:eastAsia="仿宋_GB2312" w:cs="仿宋_GB2312"/>
          <w:color w:val="000000"/>
          <w:kern w:val="21"/>
          <w:sz w:val="32"/>
          <w:szCs w:val="32"/>
          <w:lang w:val="en-US" w:eastAsia="zh-CN" w:bidi="ar-SA"/>
        </w:rPr>
        <w:t>负责绍兴地区招生工作，积极组建师生招生宣传队伍，进一步壮大招生力量；分别走访5家并授牌6家优质生源基地，宣传学校整体形象；线上线下双管齐下，政策宣传全覆盖；突出重点高中生源，信息服务送到位。据统计，2021年绍兴地区共录取新生 167 名，录取占比为 9.65%，其中特控线上生源录取 34 人、占比 12.01%。认真做好毕业生就业指导与服务工作，为毕业生提供更加安全、便捷、高效的就业服务。充分发挥学院全体老师的社会资源优势，帮助毕业生收集更多的就业信息，拓宽就业市场。组织参与好线上和线下的宣讲会及招聘会，依托校友联络中心微信公众号，在微信公众平台共计发布专业相关就业指导 6 条、招聘信息 257 条、考研信息 20条，合计浏览量6000余次。发挥利用校友资源和 6 个考研复试微信交流群答疑解惑并及时传达考研信息，2021届毕业生就业率为87%，境内外深造率达 24.51%。同时，做好2020届和2018届校友就业质量跟踪调查。</w:t>
      </w:r>
      <w:bookmarkEnd w:id="1"/>
      <w:r>
        <w:rPr>
          <w:rFonts w:hint="eastAsia" w:ascii="仿宋_GB2312" w:hAnsi="仿宋_GB2312" w:eastAsia="仿宋_GB2312" w:cs="仿宋_GB2312"/>
          <w:color w:val="000000"/>
          <w:kern w:val="21"/>
          <w:sz w:val="32"/>
          <w:szCs w:val="32"/>
          <w:lang w:val="en-US" w:eastAsia="zh-CN" w:bidi="ar-SA"/>
        </w:rPr>
        <w:t xml:space="preserve">实施“医路有你”“医路助力”“医路爱心”“医路健康”“医路星光”五位一体计划，积极打造医学院“医家人、医家亲”的校友文化，做好校友值年返校服务工作。 </w:t>
      </w:r>
    </w:p>
    <w:p>
      <w:pPr>
        <w:keepNext w:val="0"/>
        <w:keepLines w:val="0"/>
        <w:pageBreakBefore w:val="0"/>
        <w:widowControl/>
        <w:kinsoku/>
        <w:wordWrap/>
        <w:overflowPunct/>
        <w:topLinePunct w:val="0"/>
        <w:bidi w:val="0"/>
        <w:adjustRightInd w:val="0"/>
        <w:snapToGrid w:val="0"/>
        <w:spacing w:after="0" w:line="60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lang w:eastAsia="zh-CN"/>
        </w:rPr>
        <w:t>、深化</w:t>
      </w:r>
      <w:r>
        <w:rPr>
          <w:rFonts w:hint="eastAsia" w:ascii="黑体" w:hAnsi="黑体" w:eastAsia="黑体" w:cs="黑体"/>
          <w:b w:val="0"/>
          <w:bCs/>
          <w:sz w:val="32"/>
          <w:szCs w:val="32"/>
          <w:lang w:val="en-US" w:eastAsia="zh-CN"/>
        </w:rPr>
        <w:t>凝心聚力工程</w:t>
      </w:r>
      <w:r>
        <w:rPr>
          <w:rFonts w:hint="eastAsia" w:ascii="黑体" w:hAnsi="黑体" w:eastAsia="黑体" w:cs="黑体"/>
          <w:b w:val="0"/>
          <w:bCs/>
          <w:sz w:val="32"/>
          <w:szCs w:val="32"/>
          <w:lang w:eastAsia="zh-CN"/>
        </w:rPr>
        <w:t>，积极营造</w:t>
      </w:r>
      <w:r>
        <w:rPr>
          <w:rFonts w:hint="eastAsia" w:ascii="黑体" w:hAnsi="黑体" w:eastAsia="黑体" w:cs="黑体"/>
          <w:b w:val="0"/>
          <w:bCs/>
          <w:sz w:val="32"/>
          <w:szCs w:val="32"/>
          <w:lang w:val="en-US" w:eastAsia="zh-CN"/>
        </w:rPr>
        <w:t>积极向上正能量</w:t>
      </w:r>
    </w:p>
    <w:p>
      <w:pPr>
        <w:keepNext w:val="0"/>
        <w:keepLines w:val="0"/>
        <w:pageBreakBefore w:val="0"/>
        <w:widowControl/>
        <w:kinsoku/>
        <w:wordWrap/>
        <w:overflowPunct/>
        <w:topLinePunct w:val="0"/>
        <w:bidi w:val="0"/>
        <w:adjustRightInd w:val="0"/>
        <w:spacing w:after="0" w:line="600" w:lineRule="exact"/>
        <w:jc w:val="left"/>
        <w:textAlignment w:val="auto"/>
        <w:rPr>
          <w:rFonts w:hint="eastAsia" w:ascii="仿宋_GB2312" w:hAnsi="仿宋_GB2312" w:eastAsia="仿宋_GB2312" w:cs="仿宋_GB2312"/>
          <w:color w:val="000000"/>
          <w:kern w:val="21"/>
          <w:sz w:val="32"/>
          <w:szCs w:val="32"/>
          <w:lang w:val="en-US" w:eastAsia="zh-CN" w:bidi="ar-SA"/>
        </w:rPr>
      </w:pPr>
      <w:r>
        <w:rPr>
          <w:rFonts w:hint="eastAsia" w:ascii="仿宋_GB2312" w:hAnsi="仿宋_GB2312" w:eastAsia="仿宋_GB2312" w:cs="仿宋_GB2312"/>
          <w:color w:val="000000"/>
          <w:kern w:val="21"/>
          <w:sz w:val="32"/>
          <w:szCs w:val="32"/>
          <w:lang w:val="en-US" w:eastAsia="zh-CN" w:bidi="ar-SA"/>
        </w:rPr>
        <w:t>开展“魅力女神节 情浓四重礼”、校园健步走、临安指南村秋游等活动，组织参加（趣味）运动会、乒乓球、羽毛球等活动，邀请中医专家做健康讲座等，不断活跃学院氛围；关心教职工生活，解决教职工困难，慰问生病、生育教职工5人次；面对疫情防控常态化，为教师发放消毒液、免洗洗手液和消毒纸巾、口罩等防疫抗疫物资；积极争取学校党委宣传部和组织部的支持，完成理二4楼学院走廊文化、师生交流空间、课程思政研究中心以及“三创三人”书记工作室等建设；深入开展“学校在努力，我们怎么办”“坚持立德树人，推进课程思政”等大讨论活动，凝聚师生共识，强化立德树人意识，激发奋进百强大学和一流医学院力量。</w:t>
      </w:r>
    </w:p>
    <w:p>
      <w:pPr>
        <w:keepNext w:val="0"/>
        <w:keepLines w:val="0"/>
        <w:pageBreakBefore w:val="0"/>
        <w:widowControl/>
        <w:kinsoku/>
        <w:wordWrap/>
        <w:overflowPunct/>
        <w:topLinePunct w:val="0"/>
        <w:bidi w:val="0"/>
        <w:adjustRightInd w:val="0"/>
        <w:snapToGrid w:val="0"/>
        <w:spacing w:after="0" w:line="600" w:lineRule="exact"/>
        <w:ind w:left="0" w:leftChars="0" w:firstLine="640" w:firstLineChars="200"/>
        <w:textAlignment w:val="auto"/>
        <w:rPr>
          <w:rFonts w:hint="default" w:ascii="黑体" w:hAnsi="黑体" w:eastAsia="黑体" w:cs="黑体"/>
          <w:b w:val="0"/>
          <w:bCs/>
          <w:sz w:val="32"/>
          <w:szCs w:val="32"/>
          <w:lang w:val="en-US"/>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强化安全意识</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赋能平安校园建设</w:t>
      </w:r>
    </w:p>
    <w:p>
      <w:pPr>
        <w:keepNext w:val="0"/>
        <w:keepLines w:val="0"/>
        <w:pageBreakBefore w:val="0"/>
        <w:widowControl/>
        <w:kinsoku/>
        <w:wordWrap/>
        <w:overflowPunct/>
        <w:topLinePunct w:val="0"/>
        <w:bidi w:val="0"/>
        <w:adjustRightInd w:val="0"/>
        <w:spacing w:after="0" w:line="600" w:lineRule="exact"/>
        <w:jc w:val="left"/>
        <w:textAlignment w:val="auto"/>
        <w:rPr>
          <w:rFonts w:hint="default" w:ascii="仿宋_GB2312" w:hAnsi="仿宋_GB2312" w:eastAsia="仿宋_GB2312" w:cs="仿宋_GB2312"/>
          <w:color w:val="000000"/>
          <w:kern w:val="21"/>
          <w:sz w:val="32"/>
          <w:szCs w:val="32"/>
          <w:lang w:val="en-US" w:eastAsia="zh-CN" w:bidi="ar-SA"/>
        </w:rPr>
      </w:pPr>
      <w:r>
        <w:rPr>
          <w:rFonts w:hint="eastAsia" w:ascii="仿宋_GB2312" w:hAnsi="仿宋_GB2312" w:eastAsia="仿宋_GB2312" w:cs="仿宋_GB2312"/>
          <w:color w:val="000000"/>
          <w:kern w:val="21"/>
          <w:sz w:val="32"/>
          <w:szCs w:val="32"/>
          <w:lang w:val="en-US" w:eastAsia="zh-CN" w:bidi="ar-SA"/>
        </w:rPr>
        <w:t>加强实验室安全管理，及时发现和消除实验室安全隐患，使实验室安全检查常态化、制度化;签订实验室“安全责任书”，安全责任落实到人；定期召开专项安全工作会议，积极参加学校相关培训；对危险化学品和易制毒化学品进行严格双人、双锁、双账本管理，坚决杜绝消防、化学品安全事件的发生。加强网站、微信公众号、报告会（讲座）、宗教、教材、保密等管理工作，防范意识形态问题。</w:t>
      </w:r>
    </w:p>
    <w:p>
      <w:pPr>
        <w:keepNext w:val="0"/>
        <w:keepLines w:val="0"/>
        <w:pageBreakBefore w:val="0"/>
        <w:widowControl/>
        <w:kinsoku/>
        <w:wordWrap/>
        <w:overflowPunct/>
        <w:topLinePunct w:val="0"/>
        <w:bidi w:val="0"/>
        <w:adjustRightInd w:val="0"/>
        <w:spacing w:after="0" w:line="600" w:lineRule="exact"/>
        <w:jc w:val="left"/>
        <w:textAlignment w:val="auto"/>
        <w:rPr>
          <w:rFonts w:hint="eastAsia" w:ascii="仿宋_GB2312" w:hAnsi="仿宋_GB2312" w:eastAsia="仿宋_GB2312" w:cs="仿宋_GB2312"/>
          <w:color w:val="000000"/>
          <w:kern w:val="21"/>
          <w:sz w:val="32"/>
          <w:szCs w:val="32"/>
          <w:lang w:val="en-US" w:eastAsia="zh-CN" w:bidi="ar-SA"/>
        </w:rPr>
      </w:pPr>
      <w:r>
        <w:rPr>
          <w:rFonts w:hint="eastAsia" w:ascii="仿宋_GB2312" w:hAnsi="仿宋_GB2312" w:eastAsia="仿宋_GB2312" w:cs="仿宋_GB2312"/>
          <w:color w:val="000000"/>
          <w:kern w:val="21"/>
          <w:sz w:val="32"/>
          <w:szCs w:val="32"/>
          <w:lang w:val="en-US" w:eastAsia="zh-CN" w:bidi="ar-SA"/>
        </w:rPr>
        <w:t>心有所信，方能远行。医学院将凝心聚力，助推一流医学院和百强高校建设行稳致远、走深走实。</w:t>
      </w:r>
    </w:p>
    <w:p>
      <w:pPr>
        <w:pStyle w:val="6"/>
        <w:keepNext w:val="0"/>
        <w:keepLines w:val="0"/>
        <w:pageBreakBefore w:val="0"/>
        <w:widowControl/>
        <w:kinsoku/>
        <w:wordWrap/>
        <w:overflowPunct/>
        <w:topLinePunct w:val="0"/>
        <w:bidi w:val="0"/>
        <w:spacing w:after="0" w:line="600" w:lineRule="exact"/>
        <w:textAlignment w:val="auto"/>
        <w:rPr>
          <w:rFonts w:hint="eastAsia" w:ascii="宋体" w:hAnsi="宋体" w:eastAsia="FangSong_GB2312" w:cs="宋体"/>
          <w:sz w:val="28"/>
          <w:szCs w:val="28"/>
          <w:shd w:val="clear" w:color="auto" w:fill="FFFFFF"/>
          <w:lang w:val="en-US" w:eastAsia="zh-CN"/>
        </w:rPr>
      </w:pPr>
    </w:p>
    <w:p>
      <w:pPr>
        <w:pStyle w:val="2"/>
        <w:keepNext w:val="0"/>
        <w:keepLines w:val="0"/>
        <w:pageBreakBefore w:val="0"/>
        <w:widowControl/>
        <w:kinsoku/>
        <w:wordWrap/>
        <w:overflowPunct/>
        <w:topLinePunct w:val="0"/>
        <w:bidi w:val="0"/>
        <w:spacing w:after="0" w:line="600" w:lineRule="exact"/>
        <w:textAlignment w:val="auto"/>
        <w:rPr>
          <w:rFonts w:hint="eastAsia" w:ascii="仿宋" w:hAnsi="仿宋" w:eastAsia="仿宋" w:cs="仿宋"/>
          <w:bCs/>
          <w:color w:val="000000"/>
          <w:kern w:val="21"/>
          <w:sz w:val="32"/>
          <w:szCs w:val="32"/>
          <w:lang w:val="en-US" w:eastAsia="zh-CN" w:bidi="ar"/>
        </w:rPr>
      </w:pPr>
    </w:p>
    <w:p>
      <w:pPr>
        <w:pStyle w:val="2"/>
        <w:keepNext w:val="0"/>
        <w:keepLines w:val="0"/>
        <w:pageBreakBefore w:val="0"/>
        <w:widowControl/>
        <w:kinsoku/>
        <w:wordWrap/>
        <w:overflowPunct/>
        <w:topLinePunct w:val="0"/>
        <w:bidi w:val="0"/>
        <w:spacing w:after="0" w:line="600" w:lineRule="exact"/>
        <w:textAlignment w:val="auto"/>
        <w:rPr>
          <w:rFonts w:hint="eastAsia" w:ascii="仿宋" w:hAnsi="仿宋" w:eastAsia="仿宋" w:cs="仿宋"/>
          <w:sz w:val="32"/>
          <w:szCs w:val="32"/>
        </w:rPr>
      </w:pPr>
    </w:p>
    <w:p>
      <w:pPr>
        <w:pStyle w:val="2"/>
        <w:keepNext w:val="0"/>
        <w:keepLines w:val="0"/>
        <w:pageBreakBefore w:val="0"/>
        <w:widowControl/>
        <w:kinsoku/>
        <w:wordWrap/>
        <w:overflowPunct/>
        <w:topLinePunct w:val="0"/>
        <w:bidi w:val="0"/>
        <w:spacing w:after="0" w:line="600" w:lineRule="exact"/>
        <w:textAlignment w:val="auto"/>
        <w:rPr>
          <w:rFonts w:hint="eastAsia" w:ascii="仿宋" w:hAnsi="仿宋" w:eastAsia="仿宋" w:cs="仿宋"/>
          <w:sz w:val="32"/>
          <w:szCs w:val="32"/>
        </w:rPr>
      </w:pPr>
    </w:p>
    <w:p>
      <w:pPr>
        <w:pStyle w:val="2"/>
        <w:keepNext w:val="0"/>
        <w:keepLines w:val="0"/>
        <w:pageBreakBefore w:val="0"/>
        <w:widowControl/>
        <w:kinsoku/>
        <w:wordWrap/>
        <w:overflowPunct/>
        <w:topLinePunct w:val="0"/>
        <w:bidi w:val="0"/>
        <w:spacing w:after="0" w:line="600" w:lineRule="exact"/>
        <w:textAlignment w:val="auto"/>
        <w:rPr>
          <w:rFonts w:hint="eastAsia" w:ascii="仿宋" w:hAnsi="仿宋" w:eastAsia="仿宋" w:cs="仿宋"/>
          <w:color w:val="000000" w:themeColor="text1"/>
          <w:sz w:val="32"/>
          <w:szCs w:val="32"/>
          <w:u w:color="000000"/>
          <w:lang w:val="en-US" w:eastAsia="zh-CN"/>
          <w14:textFill>
            <w14:solidFill>
              <w14:schemeClr w14:val="tx1"/>
            </w14:solidFill>
          </w14:textFill>
        </w:rPr>
      </w:pPr>
    </w:p>
    <w:p>
      <w:pPr>
        <w:keepNext w:val="0"/>
        <w:keepLines w:val="0"/>
        <w:pageBreakBefore w:val="0"/>
        <w:widowControl/>
        <w:kinsoku/>
        <w:wordWrap/>
        <w:overflowPunct/>
        <w:topLinePunct w:val="0"/>
        <w:bidi w:val="0"/>
        <w:spacing w:after="0" w:line="600" w:lineRule="exact"/>
        <w:textAlignment w:val="auto"/>
        <w:rPr>
          <w:rFonts w:hint="eastAsia" w:ascii="仿宋" w:hAnsi="仿宋" w:eastAsia="仿宋" w:cs="仿宋"/>
          <w:b/>
          <w:bCs/>
          <w:color w:val="000000" w:themeColor="text1"/>
          <w:sz w:val="32"/>
          <w:szCs w:val="32"/>
          <w:u w:color="000000"/>
          <w:lang w:val="en-US" w:eastAsia="zh-CN"/>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font>
  <w:font w:name="方正兰亭黑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00" w:lineRule="auto"/>
      </w:pPr>
      <w:r>
        <w:separator/>
      </w:r>
    </w:p>
  </w:footnote>
  <w:footnote w:type="continuationSeparator" w:id="1">
    <w:p>
      <w:pPr>
        <w:spacing w:before="0" w:after="0" w:line="4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35107A"/>
    <w:multiLevelType w:val="singleLevel"/>
    <w:tmpl w:val="B33510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4D4D40"/>
    <w:rsid w:val="00C67F96"/>
    <w:rsid w:val="01055032"/>
    <w:rsid w:val="01993D60"/>
    <w:rsid w:val="02AD1871"/>
    <w:rsid w:val="03140577"/>
    <w:rsid w:val="041C542B"/>
    <w:rsid w:val="0490144A"/>
    <w:rsid w:val="09534420"/>
    <w:rsid w:val="0A1D118A"/>
    <w:rsid w:val="0AC0235E"/>
    <w:rsid w:val="0AF31F8F"/>
    <w:rsid w:val="0DAA3634"/>
    <w:rsid w:val="0DB509F5"/>
    <w:rsid w:val="0E19425F"/>
    <w:rsid w:val="0F997970"/>
    <w:rsid w:val="0FE0281D"/>
    <w:rsid w:val="103A6809"/>
    <w:rsid w:val="108856CC"/>
    <w:rsid w:val="10D20FCE"/>
    <w:rsid w:val="11924799"/>
    <w:rsid w:val="12101C14"/>
    <w:rsid w:val="12704484"/>
    <w:rsid w:val="12940358"/>
    <w:rsid w:val="12B24C82"/>
    <w:rsid w:val="13CF716E"/>
    <w:rsid w:val="14F675F4"/>
    <w:rsid w:val="153C0833"/>
    <w:rsid w:val="163364E2"/>
    <w:rsid w:val="16706130"/>
    <w:rsid w:val="16AF7C0B"/>
    <w:rsid w:val="176127D3"/>
    <w:rsid w:val="17E21B65"/>
    <w:rsid w:val="18932AF3"/>
    <w:rsid w:val="18D25736"/>
    <w:rsid w:val="196A1A91"/>
    <w:rsid w:val="19984D66"/>
    <w:rsid w:val="19F16A9E"/>
    <w:rsid w:val="1CA05B4B"/>
    <w:rsid w:val="1E5C77F2"/>
    <w:rsid w:val="203C4E03"/>
    <w:rsid w:val="2246657F"/>
    <w:rsid w:val="23B6050D"/>
    <w:rsid w:val="23F039AD"/>
    <w:rsid w:val="245C2C9F"/>
    <w:rsid w:val="24967F5F"/>
    <w:rsid w:val="252A44C1"/>
    <w:rsid w:val="2602365F"/>
    <w:rsid w:val="260A193A"/>
    <w:rsid w:val="2721437A"/>
    <w:rsid w:val="27411833"/>
    <w:rsid w:val="2826007F"/>
    <w:rsid w:val="28E52305"/>
    <w:rsid w:val="29142A97"/>
    <w:rsid w:val="298D478D"/>
    <w:rsid w:val="29DB01C2"/>
    <w:rsid w:val="2A141C7C"/>
    <w:rsid w:val="2A6A7F9D"/>
    <w:rsid w:val="2A8A2314"/>
    <w:rsid w:val="2AAD7DB1"/>
    <w:rsid w:val="2B2142FB"/>
    <w:rsid w:val="2BD61C07"/>
    <w:rsid w:val="2D0526CE"/>
    <w:rsid w:val="2D377B0D"/>
    <w:rsid w:val="2E0D036C"/>
    <w:rsid w:val="2EA2107F"/>
    <w:rsid w:val="2F0556AC"/>
    <w:rsid w:val="2F12761D"/>
    <w:rsid w:val="2F3B4EEB"/>
    <w:rsid w:val="30A43A04"/>
    <w:rsid w:val="3110499E"/>
    <w:rsid w:val="3146450B"/>
    <w:rsid w:val="314D409C"/>
    <w:rsid w:val="31A43590"/>
    <w:rsid w:val="323A2CC6"/>
    <w:rsid w:val="33386686"/>
    <w:rsid w:val="33DA14EB"/>
    <w:rsid w:val="356F36C4"/>
    <w:rsid w:val="35AD2A4B"/>
    <w:rsid w:val="35E120F0"/>
    <w:rsid w:val="378325C5"/>
    <w:rsid w:val="38B14650"/>
    <w:rsid w:val="390F7E89"/>
    <w:rsid w:val="3BF148CA"/>
    <w:rsid w:val="3C7236E7"/>
    <w:rsid w:val="3F780A72"/>
    <w:rsid w:val="3FF30259"/>
    <w:rsid w:val="404D4D40"/>
    <w:rsid w:val="404E74E8"/>
    <w:rsid w:val="40D569E9"/>
    <w:rsid w:val="41804088"/>
    <w:rsid w:val="42557BA3"/>
    <w:rsid w:val="42B25AB2"/>
    <w:rsid w:val="4411049D"/>
    <w:rsid w:val="44451961"/>
    <w:rsid w:val="44A12C22"/>
    <w:rsid w:val="45FD5429"/>
    <w:rsid w:val="46626D74"/>
    <w:rsid w:val="47EF7803"/>
    <w:rsid w:val="48CC4FDC"/>
    <w:rsid w:val="4927099A"/>
    <w:rsid w:val="4A2C089A"/>
    <w:rsid w:val="4AD20028"/>
    <w:rsid w:val="4B48000A"/>
    <w:rsid w:val="4BA80E27"/>
    <w:rsid w:val="4C2B61E9"/>
    <w:rsid w:val="4D322BAA"/>
    <w:rsid w:val="4E2C36AF"/>
    <w:rsid w:val="4F053351"/>
    <w:rsid w:val="4F390D1C"/>
    <w:rsid w:val="4F5C5041"/>
    <w:rsid w:val="4F6270CF"/>
    <w:rsid w:val="51093451"/>
    <w:rsid w:val="51281690"/>
    <w:rsid w:val="51B26705"/>
    <w:rsid w:val="5226654D"/>
    <w:rsid w:val="52630BD1"/>
    <w:rsid w:val="527E5A0B"/>
    <w:rsid w:val="52CE6A87"/>
    <w:rsid w:val="53114AD1"/>
    <w:rsid w:val="53791DCC"/>
    <w:rsid w:val="541F0D04"/>
    <w:rsid w:val="556B321E"/>
    <w:rsid w:val="559133DE"/>
    <w:rsid w:val="55EC04F6"/>
    <w:rsid w:val="578D19CB"/>
    <w:rsid w:val="58782EFD"/>
    <w:rsid w:val="58AD1978"/>
    <w:rsid w:val="58B716F5"/>
    <w:rsid w:val="58D56CAC"/>
    <w:rsid w:val="58E701E7"/>
    <w:rsid w:val="58F44C79"/>
    <w:rsid w:val="59EF68B7"/>
    <w:rsid w:val="5A2D50E4"/>
    <w:rsid w:val="5A992006"/>
    <w:rsid w:val="5ACD39D4"/>
    <w:rsid w:val="5C367F60"/>
    <w:rsid w:val="5C4F5EA6"/>
    <w:rsid w:val="5C5C4BD0"/>
    <w:rsid w:val="5D1E0517"/>
    <w:rsid w:val="5D567DE4"/>
    <w:rsid w:val="5D85574C"/>
    <w:rsid w:val="5DAD189A"/>
    <w:rsid w:val="5DC41AD2"/>
    <w:rsid w:val="5DDA6F4D"/>
    <w:rsid w:val="5EEE3AEE"/>
    <w:rsid w:val="5F972215"/>
    <w:rsid w:val="604F70AC"/>
    <w:rsid w:val="60817B83"/>
    <w:rsid w:val="60FA3F7A"/>
    <w:rsid w:val="61701D91"/>
    <w:rsid w:val="619C7C5C"/>
    <w:rsid w:val="619E1DFD"/>
    <w:rsid w:val="64F47126"/>
    <w:rsid w:val="6753700F"/>
    <w:rsid w:val="69560B77"/>
    <w:rsid w:val="6A133F8B"/>
    <w:rsid w:val="6A617C95"/>
    <w:rsid w:val="6AED3463"/>
    <w:rsid w:val="6C255F36"/>
    <w:rsid w:val="6CC62031"/>
    <w:rsid w:val="6CFE002F"/>
    <w:rsid w:val="6D2D3E5E"/>
    <w:rsid w:val="6E0B0643"/>
    <w:rsid w:val="6E120585"/>
    <w:rsid w:val="6E9F0D8B"/>
    <w:rsid w:val="6F6D70DC"/>
    <w:rsid w:val="71EF3CE9"/>
    <w:rsid w:val="72F53047"/>
    <w:rsid w:val="736330BF"/>
    <w:rsid w:val="73C20925"/>
    <w:rsid w:val="74D55507"/>
    <w:rsid w:val="74F06A54"/>
    <w:rsid w:val="754D1541"/>
    <w:rsid w:val="75502DDF"/>
    <w:rsid w:val="762D778F"/>
    <w:rsid w:val="766034F6"/>
    <w:rsid w:val="76F64DD5"/>
    <w:rsid w:val="7735668B"/>
    <w:rsid w:val="773A42A8"/>
    <w:rsid w:val="798B088A"/>
    <w:rsid w:val="7A730446"/>
    <w:rsid w:val="7A8D3E71"/>
    <w:rsid w:val="7B401BFC"/>
    <w:rsid w:val="7C0C0985"/>
    <w:rsid w:val="7C7300CB"/>
    <w:rsid w:val="7C9E723A"/>
    <w:rsid w:val="7D956D60"/>
    <w:rsid w:val="7F695E91"/>
    <w:rsid w:val="7F791185"/>
    <w:rsid w:val="7FCA6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5" w:line="400" w:lineRule="auto"/>
      <w:ind w:firstLine="631"/>
    </w:pPr>
    <w:rPr>
      <w:rFonts w:ascii="FangSong_GB2312" w:hAnsi="FangSong_GB2312" w:eastAsia="FangSong_GB2312" w:cs="FangSong_GB2312"/>
      <w:color w:val="000000"/>
      <w:kern w:val="2"/>
      <w:sz w:val="32"/>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ind w:firstLine="420"/>
      <w:jc w:val="left"/>
    </w:pPr>
    <w:rPr>
      <w:kern w:val="0"/>
    </w:rPr>
  </w:style>
  <w:style w:type="paragraph" w:styleId="3">
    <w:name w:val="Body Text Indent"/>
    <w:basedOn w:val="1"/>
    <w:qFormat/>
    <w:uiPriority w:val="0"/>
    <w:pPr>
      <w:spacing w:line="640" w:lineRule="exact"/>
      <w:ind w:firstLine="645"/>
    </w:pPr>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Emphasis"/>
    <w:basedOn w:val="9"/>
    <w:qFormat/>
    <w:uiPriority w:val="0"/>
    <w:rPr>
      <w:i/>
    </w:rPr>
  </w:style>
  <w:style w:type="character" w:customStyle="1" w:styleId="12">
    <w:name w:val="NormalCharacter"/>
    <w:semiHidden/>
    <w:qFormat/>
    <w:uiPriority w:val="0"/>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2021-12-07T03:22:00Z</dcterms:created>
  <dc:creator>王jing</dc:creator>
  <cp:lastModifiedBy>王jing</cp:lastModifiedBy>
  <cp:lastPrinted>2021-12-14T00:45:53Z</cp:lastPrinted>
  <dcterms:modified xsi:type="dcterms:W3CDTF">2021-12-14T01:31:34Z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D7495D6249D24B86A31E5EC45551659B</vt:lpwstr>
  </property>
</Properties>
</file>