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0" w:type="pct"/>
        <w:jc w:val="center"/>
        <w:tblCellMar>
          <w:left w:w="0" w:type="dxa"/>
          <w:right w:w="0" w:type="dxa"/>
        </w:tblCellMar>
        <w:tblLook w:val="04A0" w:firstRow="1" w:lastRow="0" w:firstColumn="1" w:lastColumn="0" w:noHBand="0" w:noVBand="1"/>
      </w:tblPr>
      <w:tblGrid>
        <w:gridCol w:w="8306"/>
      </w:tblGrid>
      <w:tr w:rsidR="00F332B2" w:rsidRPr="00F332B2" w14:paraId="459D666E" w14:textId="77777777" w:rsidTr="00F332B2">
        <w:trPr>
          <w:jc w:val="center"/>
        </w:trPr>
        <w:tc>
          <w:tcPr>
            <w:tcW w:w="0" w:type="auto"/>
            <w:shd w:val="clear" w:color="auto" w:fill="auto"/>
            <w:vAlign w:val="center"/>
            <w:hideMark/>
          </w:tcPr>
          <w:p w14:paraId="34E50AAB" w14:textId="77777777" w:rsidR="00F332B2" w:rsidRPr="00F332B2" w:rsidRDefault="00F332B2" w:rsidP="00F332B2">
            <w:pPr>
              <w:widowControl/>
              <w:spacing w:line="495" w:lineRule="atLeast"/>
              <w:jc w:val="center"/>
              <w:rPr>
                <w:rFonts w:ascii="微软雅黑" w:eastAsia="微软雅黑" w:hAnsi="微软雅黑" w:cs="宋体"/>
                <w:b/>
                <w:bCs/>
                <w:color w:val="3D3D3D"/>
                <w:kern w:val="0"/>
                <w:sz w:val="33"/>
                <w:szCs w:val="33"/>
              </w:rPr>
            </w:pPr>
            <w:r w:rsidRPr="00F332B2">
              <w:rPr>
                <w:rFonts w:ascii="微软雅黑" w:eastAsia="微软雅黑" w:hAnsi="微软雅黑" w:cs="宋体" w:hint="eastAsia"/>
                <w:b/>
                <w:bCs/>
                <w:color w:val="3D3D3D"/>
                <w:kern w:val="0"/>
                <w:sz w:val="33"/>
                <w:szCs w:val="33"/>
              </w:rPr>
              <w:t>关于印发《浙大城市学院省级科研平台培育建设与管理办法》的通知（浙大城院科〔2022〕17号）</w:t>
            </w:r>
          </w:p>
          <w:p w14:paraId="51D7246E" w14:textId="77777777" w:rsidR="00F332B2" w:rsidRPr="00F332B2" w:rsidRDefault="00F332B2" w:rsidP="00F332B2">
            <w:pPr>
              <w:widowControl/>
              <w:spacing w:before="225" w:line="495" w:lineRule="atLeast"/>
              <w:jc w:val="center"/>
              <w:rPr>
                <w:rFonts w:ascii="微软雅黑" w:eastAsia="微软雅黑" w:hAnsi="微软雅黑" w:cs="宋体" w:hint="eastAsia"/>
                <w:b/>
                <w:bCs/>
                <w:color w:val="3D3D3D"/>
                <w:kern w:val="0"/>
                <w:sz w:val="33"/>
                <w:szCs w:val="33"/>
              </w:rPr>
            </w:pPr>
            <w:r w:rsidRPr="00F332B2">
              <w:rPr>
                <w:rFonts w:ascii="微软雅黑" w:eastAsia="微软雅黑" w:hAnsi="微软雅黑" w:cs="宋体" w:hint="eastAsia"/>
                <w:b/>
                <w:bCs/>
                <w:color w:val="3D3D3D"/>
                <w:kern w:val="0"/>
                <w:sz w:val="33"/>
                <w:szCs w:val="33"/>
              </w:rPr>
              <w:pict w14:anchorId="02C0AE22">
                <v:rect id="_x0000_i1025" style="width:0;height:1.5pt" o:hralign="center" o:hrstd="t" o:hrnoshade="t" o:hr="t" fillcolor="#a0a0a0" stroked="f"/>
              </w:pict>
            </w:r>
          </w:p>
        </w:tc>
      </w:tr>
      <w:tr w:rsidR="00F332B2" w:rsidRPr="00F332B2" w14:paraId="0F042665" w14:textId="77777777" w:rsidTr="00F332B2">
        <w:trPr>
          <w:jc w:val="center"/>
        </w:trPr>
        <w:tc>
          <w:tcPr>
            <w:tcW w:w="0" w:type="auto"/>
            <w:shd w:val="clear" w:color="auto" w:fill="auto"/>
            <w:vAlign w:val="center"/>
            <w:hideMark/>
          </w:tcPr>
          <w:tbl>
            <w:tblPr>
              <w:tblW w:w="5000" w:type="pct"/>
              <w:jc w:val="center"/>
              <w:tblCellMar>
                <w:left w:w="0" w:type="dxa"/>
                <w:right w:w="0" w:type="dxa"/>
              </w:tblCellMar>
              <w:tblLook w:val="04A0" w:firstRow="1" w:lastRow="0" w:firstColumn="1" w:lastColumn="0" w:noHBand="0" w:noVBand="1"/>
            </w:tblPr>
            <w:tblGrid>
              <w:gridCol w:w="2326"/>
              <w:gridCol w:w="2990"/>
              <w:gridCol w:w="2990"/>
            </w:tblGrid>
            <w:tr w:rsidR="00F332B2" w:rsidRPr="00F332B2" w14:paraId="79434E74" w14:textId="77777777">
              <w:trPr>
                <w:jc w:val="center"/>
              </w:trPr>
              <w:tc>
                <w:tcPr>
                  <w:tcW w:w="1400" w:type="pct"/>
                  <w:shd w:val="clear" w:color="auto" w:fill="auto"/>
                  <w:vAlign w:val="center"/>
                  <w:hideMark/>
                </w:tcPr>
                <w:p w14:paraId="426F54F7" w14:textId="77777777" w:rsidR="00F332B2" w:rsidRPr="00F332B2" w:rsidRDefault="00F332B2" w:rsidP="00F332B2">
                  <w:pPr>
                    <w:widowControl/>
                    <w:spacing w:line="450" w:lineRule="atLeast"/>
                    <w:jc w:val="center"/>
                    <w:rPr>
                      <w:rFonts w:ascii="宋体" w:eastAsia="宋体" w:hAnsi="宋体" w:cs="宋体" w:hint="eastAsia"/>
                      <w:kern w:val="0"/>
                      <w:sz w:val="23"/>
                      <w:szCs w:val="23"/>
                    </w:rPr>
                  </w:pPr>
                  <w:r w:rsidRPr="00F332B2">
                    <w:rPr>
                      <w:rFonts w:ascii="宋体" w:eastAsia="宋体" w:hAnsi="宋体" w:cs="宋体"/>
                      <w:kern w:val="0"/>
                      <w:sz w:val="23"/>
                      <w:szCs w:val="23"/>
                    </w:rPr>
                    <w:t>编辑：xuwl</w:t>
                  </w:r>
                </w:p>
              </w:tc>
              <w:tc>
                <w:tcPr>
                  <w:tcW w:w="1800" w:type="pct"/>
                  <w:shd w:val="clear" w:color="auto" w:fill="auto"/>
                  <w:vAlign w:val="center"/>
                  <w:hideMark/>
                </w:tcPr>
                <w:p w14:paraId="441B5AC0" w14:textId="77777777" w:rsidR="00F332B2" w:rsidRPr="00F332B2" w:rsidRDefault="00F332B2" w:rsidP="00F332B2">
                  <w:pPr>
                    <w:widowControl/>
                    <w:jc w:val="center"/>
                    <w:rPr>
                      <w:rFonts w:ascii="宋体" w:eastAsia="宋体" w:hAnsi="宋体" w:cs="宋体"/>
                      <w:kern w:val="0"/>
                      <w:sz w:val="23"/>
                      <w:szCs w:val="23"/>
                    </w:rPr>
                  </w:pPr>
                  <w:r w:rsidRPr="00F332B2">
                    <w:rPr>
                      <w:rFonts w:ascii="宋体" w:eastAsia="宋体" w:hAnsi="宋体" w:cs="宋体"/>
                      <w:kern w:val="0"/>
                      <w:sz w:val="23"/>
                      <w:szCs w:val="23"/>
                    </w:rPr>
                    <w:t>日期：2022-10-28 15:18:50</w:t>
                  </w:r>
                </w:p>
              </w:tc>
              <w:tc>
                <w:tcPr>
                  <w:tcW w:w="0" w:type="auto"/>
                  <w:shd w:val="clear" w:color="auto" w:fill="auto"/>
                  <w:vAlign w:val="center"/>
                  <w:hideMark/>
                </w:tcPr>
                <w:p w14:paraId="68755B7A" w14:textId="77777777" w:rsidR="00F332B2" w:rsidRPr="00F332B2" w:rsidRDefault="00F332B2" w:rsidP="00F332B2">
                  <w:pPr>
                    <w:widowControl/>
                    <w:jc w:val="center"/>
                    <w:rPr>
                      <w:rFonts w:ascii="宋体" w:eastAsia="宋体" w:hAnsi="宋体" w:cs="宋体"/>
                      <w:kern w:val="0"/>
                      <w:sz w:val="23"/>
                      <w:szCs w:val="23"/>
                    </w:rPr>
                  </w:pPr>
                  <w:r w:rsidRPr="00F332B2">
                    <w:rPr>
                      <w:rFonts w:ascii="宋体" w:eastAsia="宋体" w:hAnsi="宋体" w:cs="宋体"/>
                      <w:kern w:val="0"/>
                      <w:sz w:val="23"/>
                      <w:szCs w:val="23"/>
                    </w:rPr>
                    <w:t>访问次数: 94</w:t>
                  </w:r>
                </w:p>
              </w:tc>
            </w:tr>
          </w:tbl>
          <w:p w14:paraId="2625B100" w14:textId="77777777" w:rsidR="00F332B2" w:rsidRPr="00F332B2" w:rsidRDefault="00F332B2" w:rsidP="00F332B2">
            <w:pPr>
              <w:widowControl/>
              <w:jc w:val="left"/>
              <w:rPr>
                <w:rFonts w:ascii="微软雅黑" w:eastAsia="微软雅黑" w:hAnsi="微软雅黑" w:cs="宋体"/>
                <w:color w:val="333333"/>
                <w:kern w:val="0"/>
                <w:sz w:val="23"/>
                <w:szCs w:val="23"/>
              </w:rPr>
            </w:pPr>
            <w:r w:rsidRPr="00F332B2">
              <w:rPr>
                <w:rFonts w:ascii="微软雅黑" w:eastAsia="微软雅黑" w:hAnsi="微软雅黑" w:cs="宋体" w:hint="eastAsia"/>
                <w:color w:val="333333"/>
                <w:kern w:val="0"/>
                <w:sz w:val="23"/>
                <w:szCs w:val="23"/>
              </w:rPr>
              <w:br/>
            </w:r>
          </w:p>
        </w:tc>
      </w:tr>
      <w:tr w:rsidR="00F332B2" w:rsidRPr="00F332B2" w14:paraId="0A186884" w14:textId="77777777" w:rsidTr="00F332B2">
        <w:trPr>
          <w:jc w:val="center"/>
        </w:trPr>
        <w:tc>
          <w:tcPr>
            <w:tcW w:w="0" w:type="auto"/>
            <w:shd w:val="clear" w:color="auto" w:fill="auto"/>
            <w:vAlign w:val="center"/>
            <w:hideMark/>
          </w:tcPr>
          <w:p w14:paraId="2D41988E" w14:textId="77777777" w:rsidR="00F332B2" w:rsidRPr="00F332B2" w:rsidRDefault="00F332B2" w:rsidP="00F332B2">
            <w:pPr>
              <w:widowControl/>
              <w:spacing w:line="315" w:lineRule="atLeast"/>
              <w:jc w:val="center"/>
              <w:rPr>
                <w:rFonts w:ascii="仿宋_GB2312" w:eastAsia="仿宋_GB2312" w:hAnsi="微软雅黑" w:cs="宋体" w:hint="eastAsia"/>
                <w:color w:val="333333"/>
                <w:kern w:val="0"/>
                <w:szCs w:val="21"/>
              </w:rPr>
            </w:pPr>
            <w:r w:rsidRPr="00F332B2">
              <w:rPr>
                <w:rFonts w:ascii="Times New Roman" w:eastAsia="仿宋_GB2312" w:hAnsi="Times New Roman" w:cs="Times New Roman"/>
                <w:color w:val="000000"/>
                <w:kern w:val="0"/>
                <w:sz w:val="32"/>
                <w:szCs w:val="32"/>
              </w:rPr>
              <w:t> </w:t>
            </w:r>
          </w:p>
          <w:p w14:paraId="48864B57" w14:textId="77777777" w:rsidR="00F332B2" w:rsidRPr="00F332B2" w:rsidRDefault="00F332B2" w:rsidP="00F332B2">
            <w:pPr>
              <w:widowControl/>
              <w:spacing w:line="315" w:lineRule="atLeast"/>
              <w:jc w:val="left"/>
              <w:rPr>
                <w:rFonts w:ascii="仿宋_GB2312" w:eastAsia="仿宋_GB2312" w:hAnsi="微软雅黑" w:cs="宋体" w:hint="eastAsia"/>
                <w:color w:val="333333"/>
                <w:kern w:val="0"/>
                <w:szCs w:val="21"/>
              </w:rPr>
            </w:pPr>
            <w:r w:rsidRPr="00F332B2">
              <w:rPr>
                <w:rFonts w:ascii="Times New Roman" w:eastAsia="仿宋_GB2312" w:hAnsi="Times New Roman" w:cs="Times New Roman"/>
                <w:color w:val="000000"/>
                <w:kern w:val="0"/>
                <w:sz w:val="32"/>
                <w:szCs w:val="32"/>
              </w:rPr>
              <w:t> </w:t>
            </w:r>
          </w:p>
          <w:p w14:paraId="63051495" w14:textId="77777777" w:rsidR="00F332B2" w:rsidRPr="00F332B2" w:rsidRDefault="00F332B2" w:rsidP="00F332B2">
            <w:pPr>
              <w:widowControl/>
              <w:jc w:val="center"/>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浙大城院科〔</w:t>
            </w:r>
            <w:r w:rsidRPr="00F332B2">
              <w:rPr>
                <w:rFonts w:ascii="Times New Roman" w:eastAsia="仿宋_GB2312" w:hAnsi="Times New Roman" w:cs="Times New Roman"/>
                <w:color w:val="000000"/>
                <w:kern w:val="0"/>
                <w:sz w:val="32"/>
                <w:szCs w:val="32"/>
              </w:rPr>
              <w:t>2022</w:t>
            </w:r>
            <w:r w:rsidRPr="00F332B2">
              <w:rPr>
                <w:rFonts w:ascii="仿宋_GB2312" w:eastAsia="仿宋_GB2312" w:hAnsi="微软雅黑" w:cs="宋体" w:hint="eastAsia"/>
                <w:color w:val="000000"/>
                <w:kern w:val="0"/>
                <w:sz w:val="32"/>
                <w:szCs w:val="32"/>
              </w:rPr>
              <w:t>〕</w:t>
            </w:r>
            <w:r w:rsidRPr="00F332B2">
              <w:rPr>
                <w:rFonts w:ascii="Times New Roman" w:eastAsia="仿宋_GB2312" w:hAnsi="Times New Roman" w:cs="Times New Roman"/>
                <w:color w:val="000000"/>
                <w:kern w:val="0"/>
                <w:sz w:val="32"/>
                <w:szCs w:val="32"/>
              </w:rPr>
              <w:t>17</w:t>
            </w:r>
            <w:r w:rsidRPr="00F332B2">
              <w:rPr>
                <w:rFonts w:ascii="仿宋_GB2312" w:eastAsia="仿宋_GB2312" w:hAnsi="微软雅黑" w:cs="宋体" w:hint="eastAsia"/>
                <w:color w:val="000000"/>
                <w:kern w:val="0"/>
                <w:sz w:val="32"/>
                <w:szCs w:val="32"/>
              </w:rPr>
              <w:t>号</w:t>
            </w:r>
          </w:p>
          <w:p w14:paraId="54F37903" w14:textId="77777777" w:rsidR="00F332B2" w:rsidRPr="00F332B2" w:rsidRDefault="00F332B2" w:rsidP="00F332B2">
            <w:pPr>
              <w:widowControl/>
              <w:spacing w:line="525" w:lineRule="atLeast"/>
              <w:jc w:val="center"/>
              <w:rPr>
                <w:rFonts w:ascii="仿宋_GB2312" w:eastAsia="仿宋_GB2312" w:hAnsi="微软雅黑" w:cs="宋体" w:hint="eastAsia"/>
                <w:color w:val="333333"/>
                <w:kern w:val="0"/>
                <w:szCs w:val="21"/>
              </w:rPr>
            </w:pPr>
            <w:r w:rsidRPr="00F332B2">
              <w:rPr>
                <w:rFonts w:ascii="Times New Roman" w:eastAsia="仿宋_GB2312" w:hAnsi="Times New Roman" w:cs="Times New Roman"/>
                <w:color w:val="000000"/>
                <w:kern w:val="0"/>
                <w:sz w:val="30"/>
                <w:szCs w:val="30"/>
              </w:rPr>
              <w:t> </w:t>
            </w:r>
          </w:p>
          <w:p w14:paraId="1B763C9D" w14:textId="77777777" w:rsidR="00F332B2" w:rsidRPr="00F332B2" w:rsidRDefault="00F332B2" w:rsidP="00F332B2">
            <w:pPr>
              <w:widowControl/>
              <w:spacing w:line="525" w:lineRule="atLeast"/>
              <w:jc w:val="left"/>
              <w:rPr>
                <w:rFonts w:ascii="仿宋_GB2312" w:eastAsia="仿宋_GB2312" w:hAnsi="微软雅黑" w:cs="宋体" w:hint="eastAsia"/>
                <w:color w:val="333333"/>
                <w:kern w:val="0"/>
                <w:szCs w:val="21"/>
              </w:rPr>
            </w:pPr>
            <w:r w:rsidRPr="00F332B2">
              <w:rPr>
                <w:rFonts w:ascii="Times New Roman" w:eastAsia="仿宋_GB2312" w:hAnsi="Times New Roman" w:cs="Times New Roman"/>
                <w:color w:val="000000"/>
                <w:kern w:val="0"/>
                <w:sz w:val="30"/>
                <w:szCs w:val="30"/>
              </w:rPr>
              <w:t> </w:t>
            </w:r>
          </w:p>
          <w:p w14:paraId="22000251" w14:textId="77777777" w:rsidR="00F332B2" w:rsidRPr="00F332B2" w:rsidRDefault="00F332B2" w:rsidP="00F332B2">
            <w:pPr>
              <w:widowControl/>
              <w:spacing w:line="705" w:lineRule="atLeast"/>
              <w:jc w:val="center"/>
              <w:rPr>
                <w:rFonts w:ascii="仿宋_GB2312" w:eastAsia="仿宋_GB2312" w:hAnsi="微软雅黑" w:cs="宋体" w:hint="eastAsia"/>
                <w:color w:val="333333"/>
                <w:kern w:val="0"/>
                <w:szCs w:val="21"/>
              </w:rPr>
            </w:pPr>
            <w:r w:rsidRPr="00F332B2">
              <w:rPr>
                <w:rFonts w:ascii="方正小标宋简体" w:eastAsia="方正小标宋简体" w:hAnsi="微软雅黑" w:cs="宋体" w:hint="eastAsia"/>
                <w:color w:val="000000"/>
                <w:kern w:val="0"/>
                <w:sz w:val="44"/>
                <w:szCs w:val="44"/>
              </w:rPr>
              <w:t>关于印发《浙大城市学院省级科研平台培育建设与管理办法》的通知</w:t>
            </w:r>
          </w:p>
          <w:p w14:paraId="7565A880" w14:textId="77777777" w:rsidR="00F332B2" w:rsidRPr="00F332B2" w:rsidRDefault="00F332B2" w:rsidP="00F332B2">
            <w:pPr>
              <w:widowControl/>
              <w:spacing w:line="555"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p>
          <w:p w14:paraId="57FE36DA" w14:textId="77777777" w:rsidR="00F332B2" w:rsidRPr="00F332B2" w:rsidRDefault="00F332B2" w:rsidP="00F332B2">
            <w:pPr>
              <w:widowControl/>
              <w:spacing w:line="555"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p>
          <w:p w14:paraId="4E8B28E1" w14:textId="77777777" w:rsidR="00F332B2" w:rsidRPr="00F332B2" w:rsidRDefault="00F332B2" w:rsidP="00F332B2">
            <w:pPr>
              <w:widowControl/>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shd w:val="clear" w:color="auto" w:fill="FFFFFF"/>
              </w:rPr>
              <w:t>各</w:t>
            </w:r>
            <w:r w:rsidRPr="00F332B2">
              <w:rPr>
                <w:rFonts w:ascii="仿宋_GB2312" w:eastAsia="仿宋_GB2312" w:hAnsi="微软雅黑" w:cs="宋体" w:hint="eastAsia"/>
                <w:color w:val="000000"/>
                <w:kern w:val="0"/>
                <w:sz w:val="32"/>
                <w:szCs w:val="32"/>
              </w:rPr>
              <w:t>学院，各部门，直属各单位：</w:t>
            </w:r>
          </w:p>
          <w:p w14:paraId="4BAC17DB"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现将《浙大城市学院省级科研平台培育建设与管理办法》印发给你们，请结合实际认真贯彻执行。</w:t>
            </w:r>
          </w:p>
          <w:p w14:paraId="241BF76A" w14:textId="77777777" w:rsidR="00F332B2" w:rsidRPr="00F332B2" w:rsidRDefault="00F332B2" w:rsidP="00F332B2">
            <w:pPr>
              <w:widowControl/>
              <w:shd w:val="clear" w:color="auto" w:fill="FFFFFF"/>
              <w:spacing w:line="600" w:lineRule="atLeast"/>
              <w:jc w:val="left"/>
              <w:rPr>
                <w:rFonts w:ascii="仿宋_GB2312" w:eastAsia="仿宋_GB2312" w:hAnsi="微软雅黑" w:cs="宋体" w:hint="eastAsia"/>
                <w:color w:val="333333"/>
                <w:kern w:val="0"/>
                <w:sz w:val="23"/>
                <w:szCs w:val="23"/>
              </w:rPr>
            </w:pPr>
            <w:r w:rsidRPr="00F332B2">
              <w:rPr>
                <w:rFonts w:ascii="仿宋_GB2312" w:eastAsia="仿宋_GB2312" w:hAnsi="微软雅黑" w:cs="宋体" w:hint="eastAsia"/>
                <w:color w:val="000000"/>
                <w:kern w:val="0"/>
                <w:sz w:val="32"/>
                <w:szCs w:val="32"/>
              </w:rPr>
              <w:t> </w:t>
            </w:r>
          </w:p>
          <w:p w14:paraId="5FEF6297" w14:textId="77777777" w:rsidR="00F332B2" w:rsidRPr="00F332B2" w:rsidRDefault="00F332B2" w:rsidP="00F332B2">
            <w:pPr>
              <w:widowControl/>
              <w:shd w:val="clear" w:color="auto" w:fill="FFFFFF"/>
              <w:spacing w:line="600" w:lineRule="atLeast"/>
              <w:jc w:val="left"/>
              <w:rPr>
                <w:rFonts w:ascii="仿宋_GB2312" w:eastAsia="仿宋_GB2312" w:hAnsi="微软雅黑" w:cs="宋体" w:hint="eastAsia"/>
                <w:color w:val="333333"/>
                <w:kern w:val="0"/>
                <w:sz w:val="23"/>
                <w:szCs w:val="23"/>
              </w:rPr>
            </w:pPr>
            <w:r w:rsidRPr="00F332B2">
              <w:rPr>
                <w:rFonts w:ascii="仿宋_GB2312" w:eastAsia="仿宋_GB2312" w:hAnsi="微软雅黑" w:cs="宋体" w:hint="eastAsia"/>
                <w:color w:val="000000"/>
                <w:kern w:val="0"/>
                <w:sz w:val="32"/>
                <w:szCs w:val="32"/>
              </w:rPr>
              <w:t> </w:t>
            </w:r>
          </w:p>
          <w:p w14:paraId="7DA626D3" w14:textId="679DECBD" w:rsidR="00F332B2" w:rsidRPr="00F332B2" w:rsidRDefault="00F332B2" w:rsidP="00F332B2">
            <w:pPr>
              <w:widowControl/>
              <w:shd w:val="clear" w:color="auto" w:fill="FFFFFF"/>
              <w:spacing w:line="600" w:lineRule="atLeast"/>
              <w:jc w:val="left"/>
              <w:rPr>
                <w:rFonts w:ascii="仿宋_GB2312" w:eastAsia="仿宋_GB2312" w:hAnsi="微软雅黑" w:cs="宋体" w:hint="eastAsia"/>
                <w:color w:val="333333"/>
                <w:kern w:val="0"/>
                <w:sz w:val="23"/>
                <w:szCs w:val="23"/>
              </w:rPr>
            </w:pP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浙大城市学院</w:t>
            </w:r>
          </w:p>
          <w:p w14:paraId="6A2C6309" w14:textId="7CB95432" w:rsidR="00F332B2" w:rsidRPr="00F332B2" w:rsidRDefault="00F332B2" w:rsidP="00F332B2">
            <w:pPr>
              <w:widowControl/>
              <w:shd w:val="clear" w:color="auto" w:fill="FFFFFF"/>
              <w:spacing w:line="600" w:lineRule="atLeast"/>
              <w:jc w:val="center"/>
              <w:rPr>
                <w:rFonts w:ascii="仿宋_GB2312" w:eastAsia="仿宋_GB2312" w:hAnsi="微软雅黑" w:cs="宋体" w:hint="eastAsia"/>
                <w:color w:val="333333"/>
                <w:kern w:val="0"/>
                <w:sz w:val="23"/>
                <w:szCs w:val="23"/>
              </w:rPr>
            </w:pP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Times New Roman" w:eastAsia="仿宋_GB2312" w:hAnsi="Times New Roman" w:cs="Times New Roman"/>
                <w:color w:val="000000"/>
                <w:kern w:val="0"/>
                <w:sz w:val="32"/>
                <w:szCs w:val="32"/>
              </w:rPr>
              <w:t>  </w:t>
            </w:r>
            <w:r>
              <w:rPr>
                <w:rFonts w:ascii="Times New Roman" w:eastAsia="仿宋_GB2312" w:hAnsi="Times New Roman" w:cs="Times New Roman"/>
                <w:color w:val="000000"/>
                <w:kern w:val="0"/>
                <w:sz w:val="32"/>
                <w:szCs w:val="32"/>
              </w:rPr>
              <w:t xml:space="preserve">         </w:t>
            </w:r>
            <w:r w:rsidRPr="00F332B2">
              <w:rPr>
                <w:rFonts w:ascii="Times New Roman" w:eastAsia="仿宋_GB2312" w:hAnsi="Times New Roman" w:cs="Times New Roman"/>
                <w:color w:val="000000"/>
                <w:kern w:val="0"/>
                <w:sz w:val="32"/>
                <w:szCs w:val="32"/>
              </w:rPr>
              <w:t>2022</w:t>
            </w:r>
            <w:r w:rsidRPr="00F332B2">
              <w:rPr>
                <w:rFonts w:ascii="仿宋_GB2312" w:eastAsia="仿宋_GB2312" w:hAnsi="微软雅黑" w:cs="宋体" w:hint="eastAsia"/>
                <w:color w:val="000000"/>
                <w:kern w:val="0"/>
                <w:sz w:val="32"/>
                <w:szCs w:val="32"/>
              </w:rPr>
              <w:t>年</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月</w:t>
            </w:r>
            <w:r w:rsidRPr="00F332B2">
              <w:rPr>
                <w:rFonts w:ascii="Times New Roman" w:eastAsia="仿宋_GB2312" w:hAnsi="Times New Roman" w:cs="Times New Roman"/>
                <w:color w:val="000000"/>
                <w:kern w:val="0"/>
                <w:sz w:val="32"/>
                <w:szCs w:val="32"/>
              </w:rPr>
              <w:t>19</w:t>
            </w:r>
            <w:r w:rsidRPr="00F332B2">
              <w:rPr>
                <w:rFonts w:ascii="仿宋_GB2312" w:eastAsia="仿宋_GB2312" w:hAnsi="微软雅黑" w:cs="宋体" w:hint="eastAsia"/>
                <w:color w:val="000000"/>
                <w:kern w:val="0"/>
                <w:sz w:val="32"/>
                <w:szCs w:val="32"/>
              </w:rPr>
              <w:t>日</w:t>
            </w:r>
          </w:p>
          <w:p w14:paraId="43E0502C" w14:textId="77777777" w:rsidR="00F332B2" w:rsidRPr="00F332B2" w:rsidRDefault="00F332B2" w:rsidP="00F332B2">
            <w:pPr>
              <w:widowControl/>
              <w:spacing w:line="600" w:lineRule="atLeast"/>
              <w:jc w:val="left"/>
              <w:rPr>
                <w:rFonts w:ascii="仿宋_GB2312" w:eastAsia="仿宋_GB2312" w:hAnsi="微软雅黑" w:cs="宋体" w:hint="eastAsia"/>
                <w:color w:val="333333"/>
                <w:kern w:val="0"/>
                <w:szCs w:val="21"/>
              </w:rPr>
            </w:pPr>
            <w:r w:rsidRPr="00F332B2">
              <w:rPr>
                <w:rFonts w:ascii="方正小标宋简体" w:eastAsia="方正小标宋简体" w:hAnsi="微软雅黑" w:cs="宋体" w:hint="eastAsia"/>
                <w:color w:val="000000"/>
                <w:kern w:val="0"/>
                <w:sz w:val="32"/>
                <w:szCs w:val="32"/>
              </w:rPr>
              <w:t> </w:t>
            </w:r>
          </w:p>
          <w:p w14:paraId="0F708426" w14:textId="6CDFFD1E" w:rsidR="00F332B2" w:rsidRDefault="00F332B2" w:rsidP="00F332B2">
            <w:pPr>
              <w:widowControl/>
              <w:spacing w:line="600" w:lineRule="atLeast"/>
              <w:jc w:val="left"/>
              <w:rPr>
                <w:rFonts w:ascii="仿宋_GB2312" w:eastAsia="仿宋_GB2312" w:hAnsi="微软雅黑" w:cs="宋体"/>
                <w:color w:val="000000"/>
                <w:kern w:val="0"/>
                <w:sz w:val="32"/>
                <w:szCs w:val="32"/>
              </w:rPr>
            </w:pPr>
            <w:r w:rsidRPr="00F332B2">
              <w:rPr>
                <w:rFonts w:ascii="仿宋_GB2312" w:eastAsia="仿宋_GB2312" w:hAnsi="微软雅黑" w:cs="宋体" w:hint="eastAsia"/>
                <w:color w:val="000000"/>
                <w:kern w:val="0"/>
                <w:sz w:val="32"/>
                <w:szCs w:val="32"/>
              </w:rPr>
              <w:t> </w:t>
            </w:r>
          </w:p>
          <w:p w14:paraId="5B4C1301" w14:textId="1081E5B5" w:rsidR="00F332B2" w:rsidRDefault="00F332B2" w:rsidP="00F332B2">
            <w:pPr>
              <w:widowControl/>
              <w:spacing w:line="600" w:lineRule="atLeast"/>
              <w:jc w:val="left"/>
              <w:rPr>
                <w:rFonts w:ascii="仿宋_GB2312" w:eastAsia="仿宋_GB2312" w:hAnsi="微软雅黑" w:cs="宋体"/>
                <w:color w:val="333333"/>
                <w:kern w:val="0"/>
                <w:szCs w:val="21"/>
              </w:rPr>
            </w:pPr>
          </w:p>
          <w:p w14:paraId="633D1B8F" w14:textId="77777777" w:rsidR="00F332B2" w:rsidRDefault="00F332B2" w:rsidP="00F332B2">
            <w:pPr>
              <w:widowControl/>
              <w:spacing w:line="525" w:lineRule="atLeast"/>
              <w:rPr>
                <w:rFonts w:ascii="方正小标宋简体" w:eastAsia="方正小标宋简体" w:hAnsi="微软雅黑" w:cs="宋体"/>
                <w:color w:val="000000"/>
                <w:kern w:val="0"/>
                <w:sz w:val="32"/>
                <w:szCs w:val="32"/>
              </w:rPr>
            </w:pPr>
          </w:p>
          <w:p w14:paraId="6A8A6950" w14:textId="19D032E4" w:rsidR="00F332B2" w:rsidRPr="00F332B2" w:rsidRDefault="00F332B2" w:rsidP="00F332B2">
            <w:pPr>
              <w:widowControl/>
              <w:spacing w:line="525" w:lineRule="atLeast"/>
              <w:jc w:val="center"/>
              <w:rPr>
                <w:rFonts w:ascii="仿宋_GB2312" w:eastAsia="仿宋_GB2312" w:hAnsi="微软雅黑" w:cs="宋体" w:hint="eastAsia"/>
                <w:color w:val="333333"/>
                <w:kern w:val="0"/>
                <w:szCs w:val="21"/>
              </w:rPr>
            </w:pPr>
            <w:r w:rsidRPr="00F332B2">
              <w:rPr>
                <w:rFonts w:ascii="方正小标宋简体" w:eastAsia="方正小标宋简体" w:hAnsi="微软雅黑" w:cs="宋体" w:hint="eastAsia"/>
                <w:color w:val="000000"/>
                <w:kern w:val="0"/>
                <w:sz w:val="32"/>
                <w:szCs w:val="32"/>
              </w:rPr>
              <w:lastRenderedPageBreak/>
              <w:t>浙大城市学院省级科研平台培育建设与管理办法</w:t>
            </w:r>
          </w:p>
          <w:p w14:paraId="5AF71527" w14:textId="77777777" w:rsidR="00F332B2" w:rsidRPr="00F332B2" w:rsidRDefault="00F332B2" w:rsidP="00F332B2">
            <w:pPr>
              <w:widowControl/>
              <w:spacing w:line="525" w:lineRule="atLeast"/>
              <w:rPr>
                <w:rFonts w:ascii="仿宋_GB2312" w:eastAsia="仿宋_GB2312" w:hAnsi="微软雅黑" w:cs="宋体" w:hint="eastAsia"/>
                <w:color w:val="333333"/>
                <w:kern w:val="0"/>
                <w:szCs w:val="21"/>
              </w:rPr>
            </w:pPr>
            <w:r w:rsidRPr="00F332B2">
              <w:rPr>
                <w:rFonts w:ascii="方正仿宋_GB2312" w:eastAsia="方正仿宋_GB2312" w:hAnsi="微软雅黑" w:cs="宋体" w:hint="eastAsia"/>
                <w:color w:val="000000"/>
                <w:kern w:val="0"/>
                <w:sz w:val="32"/>
                <w:szCs w:val="32"/>
              </w:rPr>
              <w:t> </w:t>
            </w:r>
          </w:p>
          <w:p w14:paraId="53F35302"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第一章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总</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则</w:t>
            </w:r>
          </w:p>
          <w:p w14:paraId="38C44566"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第一条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高水平的省级科研平台是学校开展高水平研究，集聚和培养优秀科技人才，产出标志性研究成果，开展高水平学术交流，引领相关学科发展的重要基地，是学校百强建设的重要载体。围绕学校百强建设目标，为加快省级高水平科研平台培育建设，增强学校科技创新和社会服务能力，制定本办法。</w:t>
            </w:r>
          </w:p>
          <w:p w14:paraId="5CA73371"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本办法适用的省级科研平台，是指由浙江省批准设立的重点实验室、工程研究中心、哲学社会科学重点研究基地、新型智库等。其他类型科研平台必须经学校认定，方可纳入省级科研平台。</w:t>
            </w:r>
          </w:p>
          <w:p w14:paraId="156D6AA4"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管理职责</w:t>
            </w:r>
          </w:p>
          <w:p w14:paraId="21A0E155"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第三条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科研处是学校科研平台的行政管理部门，主要职能如下：</w:t>
            </w:r>
          </w:p>
          <w:p w14:paraId="33F145DB"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（一）主管科研平台的立项审批、检查评估和验收等；</w:t>
            </w:r>
          </w:p>
          <w:p w14:paraId="4A11C371"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（二）拨发、配套有关经费；</w:t>
            </w:r>
          </w:p>
          <w:p w14:paraId="26839A9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（三）协调解决科研平台建设中出现的重大问题；</w:t>
            </w:r>
          </w:p>
          <w:p w14:paraId="21CDA8AF"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（四）组织申报省级科研平台。</w:t>
            </w:r>
          </w:p>
          <w:p w14:paraId="69CD0CA6"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第四条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承担科研平台培育建设的牵头单位主要职能如下：</w:t>
            </w:r>
          </w:p>
          <w:p w14:paraId="7A6B3CA7"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lastRenderedPageBreak/>
              <w:t>（一）负责科研平台的建设、日常运行与管理；</w:t>
            </w:r>
          </w:p>
          <w:p w14:paraId="7F02D8A3"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（二）提供科研平台建设的配套条件和后勤保障；</w:t>
            </w:r>
          </w:p>
          <w:p w14:paraId="2B3DDCBA"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（三）遴选、推荐科研平台负责人和学术委员会主任；</w:t>
            </w:r>
          </w:p>
          <w:p w14:paraId="7F499A9E"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（四）组织做好科研平台检查评估和验收等相关工作；</w:t>
            </w:r>
          </w:p>
          <w:p w14:paraId="45BD9170"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（五）解决科研平台建设与运行中的有关问题。</w:t>
            </w:r>
          </w:p>
          <w:p w14:paraId="14816136"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第三章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培育建设</w:t>
            </w:r>
          </w:p>
          <w:p w14:paraId="427B213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第五条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根据上级行政主管部门建设计划，结合学校科研发展规划和学科布局，对符合条件的申报单位进行有计划、有重点地遴选、培育和提升，积极推进纳入上级行政主管部门建设指南。</w:t>
            </w:r>
          </w:p>
          <w:p w14:paraId="08B5471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第六条</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学校按照“成熟一个，认定一个，建设一个”的原则培育建设省级科研平台。符合申报要求的科研平台，由牵头单位进行申报，科研处组织专家评审论证。经分管校领导同意、校长办公会审定，学校予以配套支持。</w:t>
            </w:r>
          </w:p>
          <w:p w14:paraId="2D743117"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第七条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省级科研平台批准立项后，申请单位须提交建设计划任务书，通过论证后启动建设。在建设期内按照建设计划开展工作，学校提供所需的相关条件保障。</w:t>
            </w:r>
          </w:p>
          <w:p w14:paraId="5D8C17FF"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第八条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省级科研平台建设计划完成后，通过学校向上级行政主管部门提交验收申请，通过验收后正式挂牌运行。</w:t>
            </w:r>
          </w:p>
          <w:p w14:paraId="628166E7"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第四章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保障措施</w:t>
            </w:r>
          </w:p>
          <w:p w14:paraId="1955A0E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lastRenderedPageBreak/>
              <w:t>第九条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学校立项培育的省级科研平台周期为</w:t>
            </w:r>
            <w:r w:rsidRPr="00F332B2">
              <w:rPr>
                <w:rFonts w:ascii="Times New Roman" w:eastAsia="仿宋_GB2312" w:hAnsi="Times New Roman" w:cs="Times New Roman"/>
                <w:color w:val="000000"/>
                <w:kern w:val="0"/>
                <w:sz w:val="32"/>
                <w:szCs w:val="32"/>
              </w:rPr>
              <w:t>2</w:t>
            </w:r>
            <w:r w:rsidRPr="00F332B2">
              <w:rPr>
                <w:rFonts w:ascii="仿宋_GB2312" w:eastAsia="仿宋_GB2312" w:hAnsi="微软雅黑" w:cs="宋体" w:hint="eastAsia"/>
                <w:color w:val="000000"/>
                <w:kern w:val="0"/>
                <w:sz w:val="32"/>
                <w:szCs w:val="32"/>
              </w:rPr>
              <w:t>年，培育期建设经费：理工医类科研平台总投入</w:t>
            </w:r>
            <w:r w:rsidRPr="00F332B2">
              <w:rPr>
                <w:rFonts w:ascii="Times New Roman" w:eastAsia="仿宋_GB2312" w:hAnsi="Times New Roman" w:cs="Times New Roman"/>
                <w:color w:val="000000"/>
                <w:kern w:val="0"/>
                <w:sz w:val="32"/>
                <w:szCs w:val="32"/>
              </w:rPr>
              <w:t>1000</w:t>
            </w:r>
            <w:r w:rsidRPr="00F332B2">
              <w:rPr>
                <w:rFonts w:ascii="仿宋_GB2312" w:eastAsia="仿宋_GB2312" w:hAnsi="微软雅黑" w:cs="宋体" w:hint="eastAsia"/>
                <w:color w:val="000000"/>
                <w:kern w:val="0"/>
                <w:sz w:val="32"/>
                <w:szCs w:val="32"/>
              </w:rPr>
              <w:t>万元（分期投入），主要用于条件建设；人文社科类科研平台总投入</w:t>
            </w:r>
            <w:r w:rsidRPr="00F332B2">
              <w:rPr>
                <w:rFonts w:ascii="Times New Roman" w:eastAsia="仿宋_GB2312" w:hAnsi="Times New Roman" w:cs="Times New Roman"/>
                <w:color w:val="000000"/>
                <w:kern w:val="0"/>
                <w:sz w:val="32"/>
                <w:szCs w:val="32"/>
              </w:rPr>
              <w:t>300</w:t>
            </w:r>
            <w:r w:rsidRPr="00F332B2">
              <w:rPr>
                <w:rFonts w:ascii="仿宋_GB2312" w:eastAsia="仿宋_GB2312" w:hAnsi="微软雅黑" w:cs="宋体" w:hint="eastAsia"/>
                <w:color w:val="000000"/>
                <w:kern w:val="0"/>
                <w:sz w:val="32"/>
                <w:szCs w:val="32"/>
              </w:rPr>
              <w:t>万元（分期投入），主要用于条件建设、队伍建设等。</w:t>
            </w:r>
          </w:p>
          <w:p w14:paraId="0509C656"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被认定为省级科研平台的，理工医类科研平台学校投入配套经费</w:t>
            </w:r>
            <w:r w:rsidRPr="00F332B2">
              <w:rPr>
                <w:rFonts w:ascii="Times New Roman" w:eastAsia="仿宋_GB2312" w:hAnsi="Times New Roman" w:cs="Times New Roman"/>
                <w:color w:val="000000"/>
                <w:kern w:val="0"/>
                <w:sz w:val="32"/>
                <w:szCs w:val="32"/>
              </w:rPr>
              <w:t>1000</w:t>
            </w:r>
            <w:r w:rsidRPr="00F332B2">
              <w:rPr>
                <w:rFonts w:ascii="仿宋_GB2312" w:eastAsia="仿宋_GB2312" w:hAnsi="微软雅黑" w:cs="宋体" w:hint="eastAsia"/>
                <w:color w:val="000000"/>
                <w:kern w:val="0"/>
                <w:sz w:val="32"/>
                <w:szCs w:val="32"/>
              </w:rPr>
              <w:t>万元/年，主要用于条件建设；人文社科类科研平台学校投入配套经费</w:t>
            </w:r>
            <w:r w:rsidRPr="00F332B2">
              <w:rPr>
                <w:rFonts w:ascii="Times New Roman" w:eastAsia="仿宋_GB2312" w:hAnsi="Times New Roman" w:cs="Times New Roman"/>
                <w:color w:val="000000"/>
                <w:kern w:val="0"/>
                <w:sz w:val="32"/>
                <w:szCs w:val="32"/>
              </w:rPr>
              <w:t>200</w:t>
            </w:r>
            <w:r w:rsidRPr="00F332B2">
              <w:rPr>
                <w:rFonts w:ascii="仿宋_GB2312" w:eastAsia="仿宋_GB2312" w:hAnsi="微软雅黑" w:cs="宋体" w:hint="eastAsia"/>
                <w:color w:val="000000"/>
                <w:kern w:val="0"/>
                <w:sz w:val="32"/>
                <w:szCs w:val="32"/>
              </w:rPr>
              <w:t>万元/年，主要用于条件建设、学术活动等。被认定为省级科研平台后，已享受学校经费投入的不再重复配套（包括同一实体上建设的科研平台）。通过建设验收后的省级科研平台，学校根据每年考核情况对理工医类科研平台投入</w:t>
            </w:r>
            <w:r w:rsidRPr="00F332B2">
              <w:rPr>
                <w:rFonts w:ascii="Times New Roman" w:eastAsia="仿宋_GB2312" w:hAnsi="Times New Roman" w:cs="Times New Roman"/>
                <w:color w:val="000000"/>
                <w:kern w:val="0"/>
                <w:sz w:val="32"/>
                <w:szCs w:val="32"/>
              </w:rPr>
              <w:t>100</w:t>
            </w:r>
            <w:r w:rsidRPr="00F332B2">
              <w:rPr>
                <w:rFonts w:ascii="仿宋_GB2312" w:eastAsia="仿宋_GB2312" w:hAnsi="微软雅黑" w:cs="宋体" w:hint="eastAsia"/>
                <w:color w:val="000000"/>
                <w:kern w:val="0"/>
                <w:sz w:val="32"/>
                <w:szCs w:val="32"/>
              </w:rPr>
              <w:t>万元/年运行经费，人文社科类科研平台</w:t>
            </w:r>
            <w:r w:rsidRPr="00F332B2">
              <w:rPr>
                <w:rFonts w:ascii="Times New Roman" w:eastAsia="仿宋_GB2312" w:hAnsi="Times New Roman" w:cs="Times New Roman"/>
                <w:color w:val="000000"/>
                <w:kern w:val="0"/>
                <w:sz w:val="32"/>
                <w:szCs w:val="32"/>
              </w:rPr>
              <w:t>50</w:t>
            </w:r>
            <w:r w:rsidRPr="00F332B2">
              <w:rPr>
                <w:rFonts w:ascii="仿宋_GB2312" w:eastAsia="仿宋_GB2312" w:hAnsi="微软雅黑" w:cs="宋体" w:hint="eastAsia"/>
                <w:color w:val="000000"/>
                <w:kern w:val="0"/>
                <w:sz w:val="32"/>
                <w:szCs w:val="32"/>
              </w:rPr>
              <w:t>万元/年运行经费。</w:t>
            </w:r>
          </w:p>
          <w:p w14:paraId="630A889D"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第十一条</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学校对立项培育的、被认定为省级的科研平台在高层次人才引进、专职教师人员编制增配、科研用房扩容等方面给予支持。</w:t>
            </w:r>
          </w:p>
          <w:p w14:paraId="2627D1CB"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第五章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经费使用与管理</w:t>
            </w:r>
          </w:p>
          <w:p w14:paraId="60A81BA8"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第十二条</w:t>
            </w:r>
            <w:r w:rsidRPr="00F332B2">
              <w:rPr>
                <w:rFonts w:ascii="Calibri" w:eastAsia="黑体" w:hAnsi="Calibri" w:cs="Calibri"/>
                <w:color w:val="000000"/>
                <w:kern w:val="0"/>
                <w:sz w:val="32"/>
                <w:szCs w:val="32"/>
              </w:rPr>
              <w:t> </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科研平台建设经费实行专款专用，严格按照审定后的经费使用计划进行开支。经费的使用接受上级有关部门的检查和学校纪检监察室、审计处的监督审计。</w:t>
            </w:r>
          </w:p>
          <w:p w14:paraId="2C39DDBD"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第十三条</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各科研平台应成立由平台负责人和各研究方向学术带头人等组成的科研平台建设经费管理小组，共同研究经费使用和大型仪器设备购置计划，合理安排科研平台的经费使用。平台负责人掌握使用建设经费，并对经费</w:t>
            </w:r>
            <w:r w:rsidRPr="00F332B2">
              <w:rPr>
                <w:rFonts w:ascii="仿宋_GB2312" w:eastAsia="仿宋_GB2312" w:hAnsi="微软雅黑" w:cs="宋体" w:hint="eastAsia"/>
                <w:color w:val="000000"/>
                <w:kern w:val="0"/>
                <w:sz w:val="32"/>
                <w:szCs w:val="32"/>
              </w:rPr>
              <w:lastRenderedPageBreak/>
              <w:t>使用的真实性、有效性承担相应责任。</w:t>
            </w:r>
          </w:p>
          <w:p w14:paraId="42FC701B"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第十四条</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科研平台设立单位有相关经费管理办法的则按照其办法执行。如无，则经费主要使用范围如下：</w:t>
            </w:r>
          </w:p>
          <w:p w14:paraId="69658A7B"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（一）条件建设</w:t>
            </w:r>
          </w:p>
          <w:p w14:paraId="777E863E"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理工医类平台原则上不低于总经费的</w:t>
            </w:r>
            <w:r w:rsidRPr="00F332B2">
              <w:rPr>
                <w:rFonts w:ascii="Times New Roman" w:eastAsia="仿宋_GB2312" w:hAnsi="Times New Roman" w:cs="Times New Roman"/>
                <w:color w:val="000000"/>
                <w:kern w:val="0"/>
                <w:sz w:val="32"/>
                <w:szCs w:val="32"/>
              </w:rPr>
              <w:t>50%</w:t>
            </w:r>
            <w:r w:rsidRPr="00F332B2">
              <w:rPr>
                <w:rFonts w:ascii="仿宋_GB2312" w:eastAsia="仿宋_GB2312" w:hAnsi="微软雅黑" w:cs="宋体" w:hint="eastAsia"/>
                <w:color w:val="000000"/>
                <w:kern w:val="0"/>
                <w:sz w:val="32"/>
                <w:szCs w:val="32"/>
              </w:rPr>
              <w:t>，人文社科类平台原则上不低于</w:t>
            </w:r>
            <w:r w:rsidRPr="00F332B2">
              <w:rPr>
                <w:rFonts w:ascii="Times New Roman" w:eastAsia="仿宋_GB2312" w:hAnsi="Times New Roman" w:cs="Times New Roman"/>
                <w:color w:val="000000"/>
                <w:kern w:val="0"/>
                <w:sz w:val="32"/>
                <w:szCs w:val="32"/>
              </w:rPr>
              <w:t>20%</w:t>
            </w:r>
            <w:r w:rsidRPr="00F332B2">
              <w:rPr>
                <w:rFonts w:ascii="仿宋_GB2312" w:eastAsia="仿宋_GB2312" w:hAnsi="微软雅黑" w:cs="宋体" w:hint="eastAsia"/>
                <w:color w:val="000000"/>
                <w:kern w:val="0"/>
                <w:sz w:val="32"/>
                <w:szCs w:val="32"/>
              </w:rPr>
              <w:t>，主要用于仪器设备购置和维护、图书资料和软件购买、少量实验室改建和修缮等。各科研平台须根据省级科研平台建设和发展的需要，围绕拟重点突破的研究方向购置相关的仪器设备。</w:t>
            </w:r>
          </w:p>
          <w:p w14:paraId="4BF0F880"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（二）开放基金</w:t>
            </w:r>
          </w:p>
          <w:p w14:paraId="767A29A1"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理工医类平台原则上不高于总经费的</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，主要用于吸引国内外优秀人才进入各平台，围绕本平台前沿领域，开展前瞻性学术研究。开放基金项目按照项目协议书执行，经费使用按学校相关科研项目经费管理办法执行。</w:t>
            </w:r>
          </w:p>
          <w:p w14:paraId="479BEB3E"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（三）学术交流</w:t>
            </w:r>
          </w:p>
          <w:p w14:paraId="439C76C6"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理工医类平台原则上不高于总经费的</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，主要用于各平台承办和参加重要的国内外或区域学术会议，开展高水平的国内外学术交流与学习，邀请国内外知名学者讲学等，包括差旅费、学术会议费、专家讲座费等费用。</w:t>
            </w:r>
          </w:p>
          <w:p w14:paraId="64856E2F"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（四）运行管理</w:t>
            </w:r>
          </w:p>
          <w:p w14:paraId="6DE0DC4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理工医类平台原则上不高于总经费的</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，主要用于平台检查、评估等日常工作开支。</w:t>
            </w:r>
          </w:p>
          <w:p w14:paraId="666ED25A"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第六章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运行与管理</w:t>
            </w:r>
          </w:p>
          <w:p w14:paraId="4488A2A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lastRenderedPageBreak/>
              <w:t>第十五条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科研平台实行“开放、流动、联合、竞争”的运行机制，采取动态管理，优胜劣汰。</w:t>
            </w:r>
          </w:p>
          <w:p w14:paraId="48D3F5D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第十六条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科研平台负责人由牵头单位推荐，科研处进行遴选，由学校聘任，全面负责科研平台工作。</w:t>
            </w:r>
          </w:p>
          <w:p w14:paraId="068A5262"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第十七条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学术委员会是科研平台的学术指导机构，主要职能是审议科研平台研究方向、发展规划、工作目标、年度工作计划、重大学术活动、开放研究课题，提供技术经济咨询等。学术委员会每年至少召开一次会议。</w:t>
            </w:r>
          </w:p>
          <w:p w14:paraId="03872BF5"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第十八条</w:t>
            </w:r>
            <w:r w:rsidRPr="00F332B2">
              <w:rPr>
                <w:rFonts w:ascii="Calibri" w:eastAsia="黑体" w:hAnsi="Calibri" w:cs="Calibri"/>
                <w:color w:val="000000"/>
                <w:kern w:val="0"/>
                <w:sz w:val="32"/>
                <w:szCs w:val="32"/>
              </w:rPr>
              <w:t>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科研平台学术委员会按以下原则设立：</w:t>
            </w:r>
          </w:p>
          <w:p w14:paraId="73AE0BE0"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（一）学术委员会主任由牵头单位提名，科研处审核后报校长办公会审定，由学校发文;</w:t>
            </w:r>
          </w:p>
          <w:p w14:paraId="770A8137"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（二）学术委员会委员人数一般在</w:t>
            </w:r>
            <w:r w:rsidRPr="00F332B2">
              <w:rPr>
                <w:rFonts w:ascii="Times New Roman" w:eastAsia="仿宋_GB2312" w:hAnsi="Times New Roman" w:cs="Times New Roman"/>
                <w:color w:val="000000"/>
                <w:kern w:val="0"/>
                <w:sz w:val="32"/>
                <w:szCs w:val="32"/>
              </w:rPr>
              <w:t>7</w:t>
            </w:r>
            <w:r w:rsidRPr="00F332B2">
              <w:rPr>
                <w:rFonts w:ascii="仿宋_GB2312" w:eastAsia="仿宋_GB2312" w:hAnsi="微软雅黑" w:cs="宋体" w:hint="eastAsia"/>
                <w:color w:val="000000"/>
                <w:kern w:val="0"/>
                <w:sz w:val="32"/>
                <w:szCs w:val="32"/>
              </w:rPr>
              <w:t>—</w:t>
            </w:r>
            <w:r w:rsidRPr="00F332B2">
              <w:rPr>
                <w:rFonts w:ascii="Times New Roman" w:eastAsia="仿宋_GB2312" w:hAnsi="Times New Roman" w:cs="Times New Roman"/>
                <w:color w:val="000000"/>
                <w:kern w:val="0"/>
                <w:sz w:val="32"/>
                <w:szCs w:val="32"/>
              </w:rPr>
              <w:t>11</w:t>
            </w:r>
            <w:r w:rsidRPr="00F332B2">
              <w:rPr>
                <w:rFonts w:ascii="仿宋_GB2312" w:eastAsia="仿宋_GB2312" w:hAnsi="微软雅黑" w:cs="宋体" w:hint="eastAsia"/>
                <w:color w:val="000000"/>
                <w:kern w:val="0"/>
                <w:sz w:val="32"/>
                <w:szCs w:val="32"/>
              </w:rPr>
              <w:t>人（奇数）之间，由牵头单位提名，科研处审核备案;</w:t>
            </w:r>
          </w:p>
          <w:p w14:paraId="690C0A19"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（三）学术委员会委员必须是该研究领域的国内外业内知名专家，一般校内专家不得超过三分之一。</w:t>
            </w:r>
          </w:p>
          <w:p w14:paraId="0DEC4950"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第十九条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研究团队由固定人员和流动人员组成，固定人员以学科、学术带头人为主，其他研究人员由学科、学术带头人根据研究工作的需要和争取到课题的实际情况自主聘任。科研平台应注重建设一支稳定的高水平技术队伍。</w:t>
            </w:r>
          </w:p>
          <w:p w14:paraId="3CC52893"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第二十条</w:t>
            </w:r>
            <w:r w:rsidRPr="00F332B2">
              <w:rPr>
                <w:rFonts w:ascii="Calibri" w:eastAsia="黑体" w:hAnsi="Calibri" w:cs="Calibri"/>
                <w:color w:val="000000"/>
                <w:kern w:val="0"/>
                <w:sz w:val="32"/>
                <w:szCs w:val="32"/>
              </w:rPr>
              <w:t>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科研平台应根据研究方向，积极开展国际和国内科技合作与学术交流。科研平台要主导科研人员开展</w:t>
            </w:r>
            <w:r w:rsidRPr="00F332B2">
              <w:rPr>
                <w:rFonts w:ascii="仿宋_GB2312" w:eastAsia="仿宋_GB2312" w:hAnsi="微软雅黑" w:cs="宋体" w:hint="eastAsia"/>
                <w:color w:val="000000"/>
                <w:kern w:val="0"/>
                <w:sz w:val="32"/>
                <w:szCs w:val="32"/>
              </w:rPr>
              <w:lastRenderedPageBreak/>
              <w:t>研究活动（包括方向、任务及成果等）。</w:t>
            </w:r>
          </w:p>
          <w:p w14:paraId="72B2772D"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第二十一条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科研平台应加强知识产权保护。对科研平台完成的研究成果包括专著、论文、软件、数据库等均应署名科研平台名称，专利申请、技术转让、成果奖申报应按学校有关规定办理。</w:t>
            </w:r>
          </w:p>
          <w:p w14:paraId="4392E924"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第二十二条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科研平台应重视和加强管理工作。建立和健全内部规章制度，完善科技档案和信息管理系统，并确保科研平台相关科学数据、资料、成果的科学性和真实性。</w:t>
            </w:r>
          </w:p>
          <w:p w14:paraId="7606E437"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第二十三条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科研平台应有专人负责管理平台的仪器设备，保证设备的正常高效运行，做好设备使用记录。落实推广应用“创新券”工作，积极推动仪器设备资源开放共享，开展对外服务。</w:t>
            </w:r>
          </w:p>
          <w:p w14:paraId="016DFF88"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第七章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考核与评估</w:t>
            </w:r>
          </w:p>
          <w:p w14:paraId="73F0A718"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第二十四条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科研处每年组织考核与评估专家组，对照培育建设目标，对立项培育的各科研平台进行年度考核。参与考核的各科研平台填报年度报告。年度考核获得优秀者，优先推荐认定省级科研平台；考核不合格者予以警告，连续</w:t>
            </w:r>
            <w:r w:rsidRPr="00F332B2">
              <w:rPr>
                <w:rFonts w:ascii="Times New Roman" w:eastAsia="仿宋_GB2312" w:hAnsi="Times New Roman" w:cs="Times New Roman"/>
                <w:color w:val="000000"/>
                <w:kern w:val="0"/>
                <w:sz w:val="32"/>
                <w:szCs w:val="32"/>
              </w:rPr>
              <w:t>2</w:t>
            </w:r>
            <w:r w:rsidRPr="00F332B2">
              <w:rPr>
                <w:rFonts w:ascii="仿宋_GB2312" w:eastAsia="仿宋_GB2312" w:hAnsi="微软雅黑" w:cs="宋体" w:hint="eastAsia"/>
                <w:color w:val="000000"/>
                <w:kern w:val="0"/>
                <w:sz w:val="32"/>
                <w:szCs w:val="32"/>
              </w:rPr>
              <w:t>年考核不合格者不再继续培育。</w:t>
            </w:r>
          </w:p>
          <w:p w14:paraId="724747BE"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第二十五条</w:t>
            </w:r>
            <w:r w:rsidRPr="00F332B2">
              <w:rPr>
                <w:rFonts w:ascii="仿宋_GB2312" w:eastAsia="仿宋_GB2312" w:hAnsi="微软雅黑" w:cs="宋体" w:hint="eastAsia"/>
                <w:b/>
                <w:bCs/>
                <w:color w:val="000000"/>
                <w:kern w:val="0"/>
                <w:sz w:val="32"/>
                <w:szCs w:val="32"/>
              </w:rPr>
              <w:t>  </w:t>
            </w:r>
            <w:r w:rsidRPr="00F332B2">
              <w:rPr>
                <w:rFonts w:ascii="仿宋_GB2312" w:eastAsia="仿宋_GB2312" w:hAnsi="微软雅黑" w:cs="宋体" w:hint="eastAsia"/>
                <w:color w:val="000000"/>
                <w:kern w:val="0"/>
                <w:sz w:val="32"/>
                <w:szCs w:val="32"/>
              </w:rPr>
              <w:t>科研平台立项培育期满，科研处组织专家组进行验收评估。验收专家组按照规划任务书以及验收报告，听取科研平台建设总结汇报，进行实地考察，对科研平台的建设目标、研究方向、科研成果、人才培养、经费</w:t>
            </w:r>
            <w:r w:rsidRPr="00F332B2">
              <w:rPr>
                <w:rFonts w:ascii="仿宋_GB2312" w:eastAsia="仿宋_GB2312" w:hAnsi="微软雅黑" w:cs="宋体" w:hint="eastAsia"/>
                <w:color w:val="000000"/>
                <w:kern w:val="0"/>
                <w:sz w:val="32"/>
                <w:szCs w:val="32"/>
              </w:rPr>
              <w:lastRenderedPageBreak/>
              <w:t>使用和仪器配备、学术交流、开放运行和管理等方面进行综合评议，形成验收意见。验收合格者，优先推荐认定省级科研平台；验收不合格者，学校保留收回已拨剩余经费的权利。</w:t>
            </w:r>
          </w:p>
          <w:p w14:paraId="33982B5A"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第二十六条</w:t>
            </w:r>
            <w:r w:rsidRPr="00F332B2">
              <w:rPr>
                <w:rFonts w:ascii="仿宋_GB2312" w:eastAsia="仿宋_GB2312" w:hAnsi="微软雅黑" w:cs="宋体" w:hint="eastAsia"/>
                <w:color w:val="333333"/>
                <w:kern w:val="0"/>
                <w:szCs w:val="21"/>
              </w:rPr>
              <w:t> </w:t>
            </w:r>
            <w:r w:rsidRPr="00F332B2">
              <w:rPr>
                <w:rFonts w:ascii="仿宋_GB2312" w:eastAsia="仿宋_GB2312" w:hAnsi="微软雅黑" w:cs="宋体" w:hint="eastAsia"/>
                <w:color w:val="000000"/>
                <w:kern w:val="0"/>
                <w:sz w:val="32"/>
                <w:szCs w:val="32"/>
              </w:rPr>
              <w:t>已认定的省级科研平台每年应提交年度工作报告，由科研处组织开展年度考核。省级科研平台在参加上级行政主管部门评估前，应按评估要求做好准备工作，依托学院（系）做好配合工作，科研处组织专家对平台开展预评估。</w:t>
            </w:r>
          </w:p>
          <w:p w14:paraId="6FC3E1C0" w14:textId="77777777" w:rsidR="00F332B2" w:rsidRPr="00F332B2" w:rsidRDefault="00F332B2" w:rsidP="00F332B2">
            <w:pPr>
              <w:widowControl/>
              <w:spacing w:line="600" w:lineRule="atLeast"/>
              <w:jc w:val="center"/>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第八章</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附</w:t>
            </w:r>
            <w:r w:rsidRPr="00F332B2">
              <w:rPr>
                <w:rFonts w:ascii="Calibri" w:eastAsia="黑体" w:hAnsi="Calibri" w:cs="Calibri"/>
                <w:color w:val="000000"/>
                <w:kern w:val="0"/>
                <w:sz w:val="32"/>
                <w:szCs w:val="32"/>
              </w:rPr>
              <w:t> </w:t>
            </w:r>
            <w:r w:rsidRPr="00F332B2">
              <w:rPr>
                <w:rFonts w:ascii="黑体" w:eastAsia="黑体" w:hAnsi="黑体" w:cs="宋体" w:hint="eastAsia"/>
                <w:color w:val="000000"/>
                <w:kern w:val="0"/>
                <w:sz w:val="32"/>
                <w:szCs w:val="32"/>
              </w:rPr>
              <w:t xml:space="preserve"> 则</w:t>
            </w:r>
          </w:p>
          <w:p w14:paraId="48B87C95" w14:textId="77777777" w:rsidR="00F332B2" w:rsidRPr="00F332B2" w:rsidRDefault="00F332B2" w:rsidP="00F332B2">
            <w:pPr>
              <w:widowControl/>
              <w:spacing w:line="600" w:lineRule="atLeast"/>
              <w:ind w:firstLine="645"/>
              <w:jc w:val="left"/>
              <w:rPr>
                <w:rFonts w:ascii="仿宋_GB2312" w:eastAsia="仿宋_GB2312" w:hAnsi="微软雅黑" w:cs="宋体" w:hint="eastAsia"/>
                <w:color w:val="333333"/>
                <w:kern w:val="0"/>
                <w:szCs w:val="21"/>
              </w:rPr>
            </w:pPr>
            <w:r w:rsidRPr="00F332B2">
              <w:rPr>
                <w:rFonts w:ascii="黑体" w:eastAsia="黑体" w:hAnsi="黑体" w:cs="宋体" w:hint="eastAsia"/>
                <w:color w:val="000000"/>
                <w:kern w:val="0"/>
                <w:sz w:val="32"/>
                <w:szCs w:val="32"/>
              </w:rPr>
              <w:t>第二十七条</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本办法自发布之日起实施，由科研处负责解释。原《浙江大学城市学院省级科研平台培育建设与管理办法（试行）》（浙大城院发研〔</w:t>
            </w:r>
            <w:r w:rsidRPr="00F332B2">
              <w:rPr>
                <w:rFonts w:ascii="Times New Roman" w:eastAsia="仿宋_GB2312" w:hAnsi="Times New Roman" w:cs="Times New Roman"/>
                <w:color w:val="000000"/>
                <w:kern w:val="0"/>
                <w:sz w:val="32"/>
                <w:szCs w:val="32"/>
              </w:rPr>
              <w:t>2016</w:t>
            </w:r>
            <w:r w:rsidRPr="00F332B2">
              <w:rPr>
                <w:rFonts w:ascii="仿宋_GB2312" w:eastAsia="仿宋_GB2312" w:hAnsi="微软雅黑" w:cs="宋体" w:hint="eastAsia"/>
                <w:color w:val="000000"/>
                <w:kern w:val="0"/>
                <w:sz w:val="32"/>
                <w:szCs w:val="32"/>
              </w:rPr>
              <w:t>〕</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号）同时废止。</w:t>
            </w:r>
          </w:p>
          <w:p w14:paraId="68904774" w14:textId="77777777" w:rsidR="00F332B2" w:rsidRPr="00F332B2" w:rsidRDefault="00F332B2" w:rsidP="00F332B2">
            <w:pPr>
              <w:widowControl/>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p>
          <w:p w14:paraId="0212197E" w14:textId="77777777" w:rsidR="00F332B2" w:rsidRPr="00F332B2" w:rsidRDefault="00F332B2" w:rsidP="00F332B2">
            <w:pPr>
              <w:widowControl/>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p>
          <w:p w14:paraId="0B689CEA" w14:textId="77777777" w:rsidR="00F332B2" w:rsidRPr="00F332B2" w:rsidRDefault="00F332B2" w:rsidP="00F332B2">
            <w:pPr>
              <w:widowControl/>
              <w:pBdr>
                <w:bottom w:val="single" w:sz="6" w:space="1" w:color="auto"/>
              </w:pBdr>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p>
          <w:p w14:paraId="475881F2" w14:textId="77777777" w:rsidR="00F332B2" w:rsidRPr="00F332B2" w:rsidRDefault="00F332B2" w:rsidP="00F332B2">
            <w:pPr>
              <w:widowControl/>
              <w:pBdr>
                <w:bottom w:val="single" w:sz="6" w:space="1" w:color="auto"/>
              </w:pBdr>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抄送:</w:t>
            </w:r>
            <w:r w:rsidRPr="00F332B2">
              <w:rPr>
                <w:rFonts w:ascii="仿宋_GB2312" w:eastAsia="仿宋_GB2312" w:hAnsi="微软雅黑" w:cs="宋体" w:hint="eastAsia"/>
                <w:color w:val="333333"/>
                <w:kern w:val="0"/>
                <w:szCs w:val="21"/>
              </w:rPr>
              <w:t> </w:t>
            </w:r>
            <w:r w:rsidRPr="00F332B2">
              <w:rPr>
                <w:rFonts w:ascii="仿宋_GB2312" w:eastAsia="仿宋_GB2312" w:hAnsi="微软雅黑" w:cs="宋体" w:hint="eastAsia"/>
                <w:color w:val="333333"/>
                <w:kern w:val="0"/>
                <w:sz w:val="32"/>
                <w:szCs w:val="32"/>
              </w:rPr>
              <w:t>各学院党委、机关党委、直属党支部。</w:t>
            </w:r>
          </w:p>
          <w:p w14:paraId="297DEF95" w14:textId="6E468E83" w:rsidR="00F332B2" w:rsidRPr="00F332B2" w:rsidRDefault="00F332B2" w:rsidP="00F332B2">
            <w:pPr>
              <w:widowControl/>
              <w:pBdr>
                <w:bottom w:val="single" w:sz="6" w:space="1" w:color="auto"/>
              </w:pBdr>
              <w:spacing w:line="600" w:lineRule="atLeast"/>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办公室</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Pr>
                <w:rFonts w:ascii="仿宋_GB2312" w:eastAsia="仿宋_GB2312" w:hAnsi="微软雅黑" w:cs="宋体"/>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Times New Roman" w:eastAsia="仿宋_GB2312" w:hAnsi="Times New Roman" w:cs="Times New Roman"/>
                <w:color w:val="000000"/>
                <w:kern w:val="0"/>
                <w:sz w:val="32"/>
                <w:szCs w:val="32"/>
              </w:rPr>
              <w:t>2022</w:t>
            </w:r>
            <w:r w:rsidRPr="00F332B2">
              <w:rPr>
                <w:rFonts w:ascii="仿宋_GB2312" w:eastAsia="仿宋_GB2312" w:hAnsi="微软雅黑" w:cs="宋体" w:hint="eastAsia"/>
                <w:color w:val="000000"/>
                <w:kern w:val="0"/>
                <w:sz w:val="32"/>
                <w:szCs w:val="32"/>
              </w:rPr>
              <w:t>年</w:t>
            </w:r>
            <w:r w:rsidRPr="00F332B2">
              <w:rPr>
                <w:rFonts w:ascii="Times New Roman" w:eastAsia="仿宋_GB2312" w:hAnsi="Times New Roman" w:cs="Times New Roman"/>
                <w:color w:val="000000"/>
                <w:kern w:val="0"/>
                <w:sz w:val="32"/>
                <w:szCs w:val="32"/>
              </w:rPr>
              <w:t>10</w:t>
            </w:r>
            <w:r w:rsidRPr="00F332B2">
              <w:rPr>
                <w:rFonts w:ascii="仿宋_GB2312" w:eastAsia="仿宋_GB2312" w:hAnsi="微软雅黑" w:cs="宋体" w:hint="eastAsia"/>
                <w:color w:val="000000"/>
                <w:kern w:val="0"/>
                <w:sz w:val="32"/>
                <w:szCs w:val="32"/>
              </w:rPr>
              <w:t>月</w:t>
            </w:r>
            <w:r w:rsidRPr="00F332B2">
              <w:rPr>
                <w:rFonts w:ascii="Times New Roman" w:eastAsia="仿宋_GB2312" w:hAnsi="Times New Roman" w:cs="Times New Roman"/>
                <w:color w:val="000000"/>
                <w:kern w:val="0"/>
                <w:sz w:val="32"/>
                <w:szCs w:val="32"/>
              </w:rPr>
              <w:t>19</w:t>
            </w:r>
            <w:r w:rsidRPr="00F332B2">
              <w:rPr>
                <w:rFonts w:ascii="仿宋_GB2312" w:eastAsia="仿宋_GB2312" w:hAnsi="微软雅黑" w:cs="宋体" w:hint="eastAsia"/>
                <w:color w:val="000000"/>
                <w:kern w:val="0"/>
                <w:sz w:val="32"/>
                <w:szCs w:val="32"/>
              </w:rPr>
              <w:t>日印发</w:t>
            </w:r>
          </w:p>
          <w:p w14:paraId="5F5CE70B" w14:textId="77777777" w:rsidR="00F332B2" w:rsidRPr="00F332B2" w:rsidRDefault="00F332B2" w:rsidP="00F332B2">
            <w:pPr>
              <w:widowControl/>
              <w:spacing w:line="600" w:lineRule="atLeast"/>
              <w:ind w:firstLine="105"/>
              <w:jc w:val="left"/>
              <w:rPr>
                <w:rFonts w:ascii="仿宋_GB2312" w:eastAsia="仿宋_GB2312" w:hAnsi="微软雅黑" w:cs="宋体" w:hint="eastAsia"/>
                <w:color w:val="333333"/>
                <w:kern w:val="0"/>
                <w:szCs w:val="21"/>
              </w:rPr>
            </w:pP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 xml:space="preserve"> </w:t>
            </w:r>
            <w:r w:rsidRPr="00F332B2">
              <w:rPr>
                <w:rFonts w:ascii="仿宋_GB2312" w:eastAsia="仿宋_GB2312" w:hAnsi="微软雅黑" w:cs="宋体" w:hint="eastAsia"/>
                <w:color w:val="000000"/>
                <w:kern w:val="0"/>
                <w:sz w:val="32"/>
                <w:szCs w:val="32"/>
              </w:rPr>
              <w:t> </w:t>
            </w:r>
            <w:r w:rsidRPr="00F332B2">
              <w:rPr>
                <w:rFonts w:ascii="仿宋_GB2312" w:eastAsia="仿宋_GB2312" w:hAnsi="微软雅黑" w:cs="宋体" w:hint="eastAsia"/>
                <w:color w:val="000000"/>
                <w:kern w:val="0"/>
                <w:sz w:val="32"/>
                <w:szCs w:val="32"/>
              </w:rPr>
              <w:t>校对：何猛</w:t>
            </w:r>
          </w:p>
        </w:tc>
      </w:tr>
    </w:tbl>
    <w:p w14:paraId="0556EC4F" w14:textId="77777777" w:rsidR="00B228AD" w:rsidRDefault="00B228AD"/>
    <w:sectPr w:rsidR="00B22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仿宋_GB2312">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6F5"/>
    <w:rsid w:val="00B228AD"/>
    <w:rsid w:val="00B306F5"/>
    <w:rsid w:val="00F3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71C61"/>
  <w15:chartTrackingRefBased/>
  <w15:docId w15:val="{FE692333-5A1B-4880-985F-6B2AC03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2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3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040591">
      <w:bodyDiv w:val="1"/>
      <w:marLeft w:val="0"/>
      <w:marRight w:val="0"/>
      <w:marTop w:val="0"/>
      <w:marBottom w:val="0"/>
      <w:divBdr>
        <w:top w:val="none" w:sz="0" w:space="0" w:color="auto"/>
        <w:left w:val="none" w:sz="0" w:space="0" w:color="auto"/>
        <w:bottom w:val="none" w:sz="0" w:space="0" w:color="auto"/>
        <w:right w:val="none" w:sz="0" w:space="0" w:color="auto"/>
      </w:divBdr>
      <w:divsChild>
        <w:div w:id="1416971259">
          <w:marLeft w:val="0"/>
          <w:marRight w:val="0"/>
          <w:marTop w:val="0"/>
          <w:marBottom w:val="0"/>
          <w:divBdr>
            <w:top w:val="none" w:sz="0" w:space="0" w:color="auto"/>
            <w:left w:val="none" w:sz="0" w:space="0" w:color="auto"/>
            <w:bottom w:val="none" w:sz="0" w:space="0" w:color="auto"/>
            <w:right w:val="none" w:sz="0" w:space="0" w:color="auto"/>
          </w:divBdr>
          <w:divsChild>
            <w:div w:id="190725300">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ly</dc:creator>
  <cp:keywords/>
  <dc:description/>
  <cp:lastModifiedBy>feng ly</cp:lastModifiedBy>
  <cp:revision>3</cp:revision>
  <dcterms:created xsi:type="dcterms:W3CDTF">2022-10-31T03:40:00Z</dcterms:created>
  <dcterms:modified xsi:type="dcterms:W3CDTF">2022-10-31T03:41:00Z</dcterms:modified>
</cp:coreProperties>
</file>